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9B" w:rsidRDefault="00D27306">
      <w:pPr>
        <w:pStyle w:val="Figure"/>
      </w:pPr>
      <w:r>
        <w:rPr>
          <w:noProof/>
        </w:rPr>
        <w:drawing>
          <wp:inline distT="0" distB="0" distL="0" distR="0">
            <wp:extent cx="4029075" cy="847725"/>
            <wp:effectExtent l="19050" t="0" r="9525" b="0"/>
            <wp:docPr id="1" name="Picture 1" descr="SQL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_2005"/>
                    <pic:cNvPicPr>
                      <a:picLocks noChangeAspect="1" noChangeArrowheads="1"/>
                    </pic:cNvPicPr>
                  </pic:nvPicPr>
                  <pic:blipFill>
                    <a:blip r:embed="rId8"/>
                    <a:srcRect/>
                    <a:stretch>
                      <a:fillRect/>
                    </a:stretch>
                  </pic:blipFill>
                  <pic:spPr bwMode="auto">
                    <a:xfrm>
                      <a:off x="0" y="0"/>
                      <a:ext cx="4029075" cy="847725"/>
                    </a:xfrm>
                    <a:prstGeom prst="rect">
                      <a:avLst/>
                    </a:prstGeom>
                    <a:noFill/>
                    <a:ln w="9525">
                      <a:noFill/>
                      <a:miter lim="800000"/>
                      <a:headEnd/>
                      <a:tailEnd/>
                    </a:ln>
                  </pic:spPr>
                </pic:pic>
              </a:graphicData>
            </a:graphic>
          </wp:inline>
        </w:drawing>
      </w:r>
    </w:p>
    <w:p w:rsidR="004D3B9B" w:rsidRPr="008A2B77" w:rsidRDefault="00057AD4" w:rsidP="00F600EB">
      <w:pPr>
        <w:pStyle w:val="Heading1"/>
      </w:pPr>
      <w:r>
        <w:t>Understanding Database Pricing</w:t>
      </w:r>
      <w:r w:rsidR="006C707F">
        <w:t xml:space="preserve"> and Licensing</w:t>
      </w: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243AEC" w:rsidRPr="00057AD4" w:rsidRDefault="00243AEC" w:rsidP="00243AEC">
      <w:pPr>
        <w:pStyle w:val="Text"/>
        <w:rPr>
          <w:color w:val="auto"/>
        </w:rPr>
      </w:pPr>
      <w:r w:rsidRPr="00057AD4">
        <w:rPr>
          <w:color w:val="auto"/>
        </w:rPr>
        <w:t xml:space="preserve">Writers: </w:t>
      </w:r>
      <w:r w:rsidR="00E71D09">
        <w:rPr>
          <w:color w:val="auto"/>
        </w:rPr>
        <w:t>Darmadi Komo</w:t>
      </w:r>
    </w:p>
    <w:p w:rsidR="00243AEC" w:rsidRPr="00057AD4" w:rsidRDefault="00243AEC" w:rsidP="00243AEC">
      <w:pPr>
        <w:pStyle w:val="Text"/>
        <w:rPr>
          <w:color w:val="auto"/>
        </w:rPr>
      </w:pPr>
      <w:r w:rsidRPr="00057AD4">
        <w:rPr>
          <w:color w:val="auto"/>
        </w:rPr>
        <w:t>Technical Reviewer</w:t>
      </w:r>
      <w:r w:rsidR="00BF7B6F">
        <w:rPr>
          <w:color w:val="auto"/>
        </w:rPr>
        <w:t>s</w:t>
      </w:r>
      <w:r w:rsidRPr="00057AD4">
        <w:rPr>
          <w:color w:val="auto"/>
        </w:rPr>
        <w:t xml:space="preserve">: </w:t>
      </w:r>
      <w:r w:rsidR="003F3A4B">
        <w:rPr>
          <w:color w:val="auto"/>
        </w:rPr>
        <w:t xml:space="preserve">Kajal Deepak, </w:t>
      </w:r>
      <w:r w:rsidR="003C022C">
        <w:rPr>
          <w:color w:val="auto"/>
        </w:rPr>
        <w:t>Bernardo Zamora</w:t>
      </w:r>
    </w:p>
    <w:p w:rsidR="00343662" w:rsidRPr="00057AD4" w:rsidRDefault="00343662" w:rsidP="007C3D54">
      <w:pPr>
        <w:pStyle w:val="Text"/>
        <w:rPr>
          <w:color w:val="auto"/>
        </w:rPr>
      </w:pPr>
    </w:p>
    <w:p w:rsidR="002B3B1B" w:rsidRPr="00057AD4" w:rsidRDefault="002B3B1B">
      <w:pPr>
        <w:pStyle w:val="Text"/>
        <w:rPr>
          <w:color w:val="auto"/>
        </w:rPr>
      </w:pPr>
    </w:p>
    <w:p w:rsidR="00243AEC" w:rsidRPr="00057AD4" w:rsidRDefault="00243AEC" w:rsidP="00243AEC">
      <w:pPr>
        <w:pStyle w:val="Text"/>
        <w:rPr>
          <w:color w:val="auto"/>
        </w:rPr>
      </w:pPr>
      <w:r w:rsidRPr="00057AD4">
        <w:rPr>
          <w:color w:val="auto"/>
        </w:rPr>
        <w:t xml:space="preserve">Published: </w:t>
      </w:r>
      <w:r w:rsidR="00057AD4" w:rsidRPr="00057AD4">
        <w:rPr>
          <w:color w:val="auto"/>
        </w:rPr>
        <w:t>May 2005</w:t>
      </w:r>
    </w:p>
    <w:p w:rsidR="00243AEC" w:rsidRPr="00057AD4" w:rsidRDefault="00243AEC" w:rsidP="00243AEC">
      <w:pPr>
        <w:pStyle w:val="Text"/>
        <w:rPr>
          <w:color w:val="auto"/>
        </w:rPr>
      </w:pPr>
      <w:r w:rsidRPr="00057AD4">
        <w:rPr>
          <w:color w:val="auto"/>
        </w:rPr>
        <w:t xml:space="preserve">Updated: </w:t>
      </w:r>
      <w:r w:rsidR="00057AD4" w:rsidRPr="00057AD4">
        <w:rPr>
          <w:color w:val="auto"/>
        </w:rPr>
        <w:t>September 2007</w:t>
      </w:r>
    </w:p>
    <w:p w:rsidR="00243AEC" w:rsidRPr="00057AD4" w:rsidRDefault="00243AEC" w:rsidP="00243AEC">
      <w:pPr>
        <w:pStyle w:val="Text"/>
        <w:rPr>
          <w:color w:val="auto"/>
        </w:rPr>
      </w:pPr>
      <w:r w:rsidRPr="00057AD4">
        <w:rPr>
          <w:color w:val="auto"/>
        </w:rPr>
        <w:t xml:space="preserve">Applies To: SQL Server 2005 </w:t>
      </w:r>
    </w:p>
    <w:p w:rsidR="00CB2ED6" w:rsidRDefault="00CB2ED6">
      <w:pPr>
        <w:pStyle w:val="Text"/>
      </w:pPr>
    </w:p>
    <w:p w:rsidR="004D3B9B" w:rsidRDefault="004D3B9B">
      <w:pPr>
        <w:pStyle w:val="Text"/>
      </w:pPr>
      <w:r>
        <w:rPr>
          <w:rStyle w:val="Bold"/>
        </w:rPr>
        <w:t>Summary:</w:t>
      </w:r>
      <w:r w:rsidR="00B46333">
        <w:t xml:space="preserve"> </w:t>
      </w:r>
      <w:r w:rsidR="00345AD2">
        <w:t>This white paper c</w:t>
      </w:r>
      <w:r w:rsidR="00057AD4">
        <w:t>ompar</w:t>
      </w:r>
      <w:r w:rsidR="00345AD2">
        <w:t>es</w:t>
      </w:r>
      <w:r w:rsidR="00057AD4">
        <w:t xml:space="preserve"> </w:t>
      </w:r>
      <w:r w:rsidR="000A49F5">
        <w:t xml:space="preserve">the </w:t>
      </w:r>
      <w:r w:rsidR="00057AD4">
        <w:t xml:space="preserve">database pricing and licensing </w:t>
      </w:r>
      <w:r w:rsidR="000A49F5">
        <w:t>policies of</w:t>
      </w:r>
      <w:r w:rsidR="003C022C">
        <w:t xml:space="preserve"> </w:t>
      </w:r>
      <w:r w:rsidR="00345AD2">
        <w:t xml:space="preserve">three </w:t>
      </w:r>
      <w:r w:rsidR="003C022C">
        <w:t>top database vendors:</w:t>
      </w:r>
      <w:r w:rsidR="00057AD4">
        <w:t xml:space="preserve"> Microsoft, Oracle, and IBM.</w:t>
      </w:r>
    </w:p>
    <w:p w:rsidR="004D3B9B" w:rsidRDefault="004D3B9B">
      <w:pPr>
        <w:pStyle w:val="Text"/>
      </w:pPr>
    </w:p>
    <w:p w:rsidR="004D3B9B" w:rsidRDefault="004D3B9B" w:rsidP="00192B7C">
      <w:pPr>
        <w:pStyle w:val="Heading3"/>
      </w:pPr>
      <w:r>
        <w:br w:type="page"/>
      </w:r>
      <w:bookmarkStart w:id="0" w:name="_Toc115167741"/>
      <w:r>
        <w:lastRenderedPageBreak/>
        <w:t>Copyright</w:t>
      </w:r>
      <w:bookmarkEnd w:id="0"/>
    </w:p>
    <w:p w:rsidR="004D3B9B" w:rsidRDefault="004D3B9B">
      <w:pPr>
        <w:pStyle w:val="Text"/>
        <w:rPr>
          <w:sz w:val="16"/>
        </w:rPr>
      </w:pPr>
    </w:p>
    <w:p w:rsidR="00243AEC" w:rsidRDefault="00243AEC" w:rsidP="00243AEC">
      <w:pPr>
        <w:pStyle w:val="Text"/>
        <w:rPr>
          <w:sz w:val="16"/>
        </w:rPr>
      </w:pPr>
      <w:r>
        <w:rPr>
          <w:sz w:val="16"/>
        </w:rPr>
        <w:t>The information contained in this document represents the current view of Microsoft Corporation on the issues discussed as of the date of publication</w:t>
      </w:r>
      <w:r w:rsidR="004F3560">
        <w:rPr>
          <w:sz w:val="16"/>
        </w:rPr>
        <w:t xml:space="preserve">. </w:t>
      </w:r>
      <w:r>
        <w:rPr>
          <w:sz w:val="16"/>
        </w:rPr>
        <w:t>Because Microsoft must respond to changing market conditions, it should not be interpreted to be a commitment on the part of Microsoft, and Microsoft cannot guarantee the accuracy of any information presented after the date of publication.</w:t>
      </w:r>
    </w:p>
    <w:p w:rsidR="00243AEC" w:rsidRDefault="00243AEC" w:rsidP="00243AEC">
      <w:pPr>
        <w:pStyle w:val="Text"/>
        <w:rPr>
          <w:sz w:val="16"/>
        </w:rPr>
      </w:pPr>
    </w:p>
    <w:p w:rsidR="00243AEC" w:rsidRDefault="00243AEC" w:rsidP="00243AEC">
      <w:pPr>
        <w:pStyle w:val="Text"/>
        <w:rPr>
          <w:sz w:val="16"/>
        </w:rPr>
      </w:pPr>
      <w:r>
        <w:rPr>
          <w:sz w:val="16"/>
        </w:rPr>
        <w:t>This White Paper is for informational purposes only</w:t>
      </w:r>
      <w:r w:rsidR="004F3560">
        <w:rPr>
          <w:sz w:val="16"/>
        </w:rPr>
        <w:t xml:space="preserve">. </w:t>
      </w:r>
      <w:r w:rsidRPr="00057AD4">
        <w:rPr>
          <w:color w:val="auto"/>
          <w:sz w:val="16"/>
        </w:rPr>
        <w:t>MICROSOFT MAKES NO WARRANTIES, EXPRESS, IMPLIED OR STATUTORY, AS TO THE INFORMATION IN THIS DOCUMENT.</w:t>
      </w:r>
    </w:p>
    <w:p w:rsidR="00243AEC" w:rsidRDefault="00243AEC" w:rsidP="00243AEC">
      <w:pPr>
        <w:pStyle w:val="Text"/>
        <w:rPr>
          <w:sz w:val="16"/>
        </w:rPr>
      </w:pPr>
    </w:p>
    <w:p w:rsidR="00243AEC" w:rsidRDefault="00243AEC" w:rsidP="00243AEC">
      <w:pPr>
        <w:pStyle w:val="Text"/>
        <w:rPr>
          <w:sz w:val="16"/>
        </w:rPr>
      </w:pPr>
      <w:r>
        <w:rPr>
          <w:sz w:val="16"/>
        </w:rPr>
        <w:t>Complying with all applicable copyright laws is the responsibility of the user</w:t>
      </w:r>
      <w:r w:rsidR="004F3560">
        <w:rPr>
          <w:sz w:val="16"/>
        </w:rPr>
        <w:t xml:space="preserve">. </w:t>
      </w:r>
      <w:r>
        <w:rPr>
          <w:sz w:val="16"/>
        </w:rP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43AEC" w:rsidRDefault="00243AEC" w:rsidP="00243AEC">
      <w:pPr>
        <w:pStyle w:val="Text"/>
        <w:rPr>
          <w:sz w:val="16"/>
        </w:rPr>
      </w:pPr>
    </w:p>
    <w:p w:rsidR="00243AEC" w:rsidRDefault="00243AEC" w:rsidP="00243AEC">
      <w:pPr>
        <w:pStyle w:val="Text"/>
        <w:rPr>
          <w:sz w:val="16"/>
        </w:rPr>
      </w:pPr>
      <w:r>
        <w:rPr>
          <w:sz w:val="16"/>
        </w:rPr>
        <w:t>Microsoft may have patents, patent applications, trademarks, copyrights, or other intellectual property rights covering subject matter in this document</w:t>
      </w:r>
      <w:r w:rsidR="004F3560">
        <w:rPr>
          <w:sz w:val="16"/>
        </w:rPr>
        <w:t xml:space="preserve">. </w:t>
      </w:r>
      <w:r>
        <w:rPr>
          <w:sz w:val="16"/>
        </w:rPr>
        <w:t>Except as expressly provided in any written license agreement from Microsoft, the furnishing of this document does not give you any license to these patents, trademarks, copyrights, or other intellectual property.</w:t>
      </w:r>
    </w:p>
    <w:p w:rsidR="00243AEC" w:rsidRDefault="00243AEC" w:rsidP="00243AEC">
      <w:pPr>
        <w:pStyle w:val="Text"/>
        <w:rPr>
          <w:sz w:val="16"/>
        </w:rPr>
      </w:pPr>
    </w:p>
    <w:p w:rsidR="00243AEC" w:rsidRDefault="00243AEC" w:rsidP="00243AEC">
      <w:pPr>
        <w:pStyle w:val="Text"/>
        <w:rPr>
          <w:sz w:val="16"/>
        </w:rPr>
      </w:pPr>
      <w:r>
        <w:rPr>
          <w:rFonts w:ascii="Symbol" w:hAnsi="Symbol"/>
          <w:sz w:val="16"/>
        </w:rPr>
        <w:t></w:t>
      </w:r>
      <w:r>
        <w:rPr>
          <w:sz w:val="16"/>
        </w:rPr>
        <w:t xml:space="preserve"> </w:t>
      </w:r>
      <w:r w:rsidR="00057AD4" w:rsidRPr="00057AD4">
        <w:rPr>
          <w:color w:val="auto"/>
          <w:sz w:val="16"/>
        </w:rPr>
        <w:t>2007</w:t>
      </w:r>
      <w:r w:rsidRPr="00057AD4">
        <w:rPr>
          <w:color w:val="auto"/>
          <w:sz w:val="16"/>
        </w:rPr>
        <w:t xml:space="preserve"> </w:t>
      </w:r>
      <w:r>
        <w:rPr>
          <w:sz w:val="16"/>
        </w:rPr>
        <w:t>Microsoft Corporation</w:t>
      </w:r>
      <w:r w:rsidR="004F3560">
        <w:rPr>
          <w:sz w:val="16"/>
        </w:rPr>
        <w:t xml:space="preserve">. </w:t>
      </w:r>
      <w:r>
        <w:rPr>
          <w:sz w:val="16"/>
        </w:rPr>
        <w:t>All rights reserved.</w:t>
      </w:r>
    </w:p>
    <w:p w:rsidR="00243AEC" w:rsidRDefault="00243AEC" w:rsidP="00243AEC">
      <w:pPr>
        <w:pStyle w:val="Text"/>
        <w:rPr>
          <w:sz w:val="16"/>
        </w:rPr>
      </w:pPr>
    </w:p>
    <w:p w:rsidR="00243AEC" w:rsidRDefault="00057AD4" w:rsidP="00243AEC">
      <w:pPr>
        <w:pStyle w:val="Text"/>
        <w:rPr>
          <w:sz w:val="16"/>
        </w:rPr>
      </w:pPr>
      <w:r>
        <w:rPr>
          <w:sz w:val="16"/>
        </w:rPr>
        <w:t>Microsoft</w:t>
      </w:r>
      <w:r w:rsidR="00E02EE9">
        <w:rPr>
          <w:sz w:val="16"/>
        </w:rPr>
        <w:t>, Vista, and Windows</w:t>
      </w:r>
      <w:r w:rsidR="00243AEC">
        <w:rPr>
          <w:i/>
          <w:sz w:val="16"/>
        </w:rPr>
        <w:t xml:space="preserve"> </w:t>
      </w:r>
      <w:r w:rsidR="00243AEC">
        <w:rPr>
          <w:sz w:val="16"/>
        </w:rPr>
        <w:t>are either registered trademarks or trademarks of Microsoft Corporation in the United States and/or other countries.</w:t>
      </w:r>
    </w:p>
    <w:p w:rsidR="00243AEC" w:rsidRDefault="00243AEC" w:rsidP="00243AEC">
      <w:pPr>
        <w:pStyle w:val="Text"/>
        <w:rPr>
          <w:sz w:val="16"/>
        </w:rPr>
      </w:pPr>
    </w:p>
    <w:p w:rsidR="00243AEC" w:rsidRDefault="00243AEC" w:rsidP="00243AEC">
      <w:pPr>
        <w:pStyle w:val="Text"/>
        <w:rPr>
          <w:sz w:val="16"/>
        </w:rPr>
      </w:pPr>
      <w:r>
        <w:rPr>
          <w:sz w:val="16"/>
        </w:rPr>
        <w:t>The names of actual companies and products mentioned herein may be the trademarks of their respective owners.</w:t>
      </w:r>
    </w:p>
    <w:p w:rsidR="004D3B9B" w:rsidRDefault="004D3B9B">
      <w:pPr>
        <w:pStyle w:val="Text"/>
        <w:rPr>
          <w:rStyle w:val="Bold"/>
          <w:color w:val="auto"/>
        </w:rPr>
      </w:pPr>
    </w:p>
    <w:p w:rsidR="004D3B9B" w:rsidRDefault="004D3B9B">
      <w:pPr>
        <w:pStyle w:val="Text"/>
        <w:sectPr w:rsidR="004D3B9B" w:rsidSect="00D96B40">
          <w:headerReference w:type="even" r:id="rId9"/>
          <w:pgSz w:w="12240" w:h="15840"/>
          <w:pgMar w:top="1440" w:right="1660" w:bottom="1440" w:left="1660" w:header="1020" w:footer="1020" w:gutter="0"/>
          <w:cols w:space="720"/>
          <w:titlePg/>
          <w:docGrid w:linePitch="360"/>
        </w:sectPr>
      </w:pPr>
    </w:p>
    <w:p w:rsidR="004D3B9B" w:rsidRDefault="004D3B9B" w:rsidP="00192B7C">
      <w:pPr>
        <w:pStyle w:val="Heading3"/>
      </w:pPr>
      <w:bookmarkStart w:id="1" w:name="_Toc115167742"/>
      <w:r>
        <w:lastRenderedPageBreak/>
        <w:t>Table of Contents</w:t>
      </w:r>
      <w:bookmarkEnd w:id="1"/>
    </w:p>
    <w:p w:rsidR="00C5542A" w:rsidRDefault="00A601F0">
      <w:pPr>
        <w:pStyle w:val="TOC1"/>
        <w:rPr>
          <w:rFonts w:asciiTheme="minorHAnsi" w:eastAsiaTheme="minorEastAsia" w:hAnsiTheme="minorHAnsi" w:cstheme="minorBidi"/>
          <w:b w:val="0"/>
          <w:noProof/>
          <w:color w:val="auto"/>
          <w:kern w:val="0"/>
          <w:sz w:val="22"/>
        </w:rPr>
      </w:pPr>
      <w:r w:rsidRPr="00A601F0">
        <w:fldChar w:fldCharType="begin"/>
      </w:r>
      <w:r w:rsidR="008C4E60">
        <w:instrText xml:space="preserve"> TOC \h \z \t "Heading 4,1,Heading 5,2,Heading 6,3" </w:instrText>
      </w:r>
      <w:r w:rsidRPr="00A601F0">
        <w:fldChar w:fldCharType="separate"/>
      </w:r>
      <w:hyperlink w:anchor="_Toc178405157" w:history="1">
        <w:r w:rsidR="00C5542A" w:rsidRPr="00C2712B">
          <w:rPr>
            <w:rStyle w:val="Hyperlink"/>
            <w:noProof/>
          </w:rPr>
          <w:t>Executive Summary</w:t>
        </w:r>
        <w:r w:rsidR="00C5542A">
          <w:rPr>
            <w:noProof/>
            <w:webHidden/>
          </w:rPr>
          <w:tab/>
        </w:r>
        <w:r>
          <w:rPr>
            <w:noProof/>
            <w:webHidden/>
          </w:rPr>
          <w:fldChar w:fldCharType="begin"/>
        </w:r>
        <w:r w:rsidR="00C5542A">
          <w:rPr>
            <w:noProof/>
            <w:webHidden/>
          </w:rPr>
          <w:instrText xml:space="preserve"> PAGEREF _Toc178405157 \h </w:instrText>
        </w:r>
        <w:r>
          <w:rPr>
            <w:noProof/>
            <w:webHidden/>
          </w:rPr>
        </w:r>
        <w:r>
          <w:rPr>
            <w:noProof/>
            <w:webHidden/>
          </w:rPr>
          <w:fldChar w:fldCharType="separate"/>
        </w:r>
        <w:r w:rsidR="00C5542A">
          <w:rPr>
            <w:noProof/>
            <w:webHidden/>
          </w:rPr>
          <w:t>1</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58" w:history="1">
        <w:r w:rsidR="00C5542A" w:rsidRPr="00C2712B">
          <w:rPr>
            <w:rStyle w:val="Hyperlink"/>
            <w:noProof/>
          </w:rPr>
          <w:t>Introduction</w:t>
        </w:r>
        <w:r w:rsidR="00C5542A">
          <w:rPr>
            <w:noProof/>
            <w:webHidden/>
          </w:rPr>
          <w:tab/>
        </w:r>
        <w:r>
          <w:rPr>
            <w:noProof/>
            <w:webHidden/>
          </w:rPr>
          <w:fldChar w:fldCharType="begin"/>
        </w:r>
        <w:r w:rsidR="00C5542A">
          <w:rPr>
            <w:noProof/>
            <w:webHidden/>
          </w:rPr>
          <w:instrText xml:space="preserve"> PAGEREF _Toc178405158 \h </w:instrText>
        </w:r>
        <w:r>
          <w:rPr>
            <w:noProof/>
            <w:webHidden/>
          </w:rPr>
        </w:r>
        <w:r>
          <w:rPr>
            <w:noProof/>
            <w:webHidden/>
          </w:rPr>
          <w:fldChar w:fldCharType="separate"/>
        </w:r>
        <w:r w:rsidR="00C5542A">
          <w:rPr>
            <w:noProof/>
            <w:webHidden/>
          </w:rPr>
          <w:t>1</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59" w:history="1">
        <w:r w:rsidR="00C5542A" w:rsidRPr="00C2712B">
          <w:rPr>
            <w:rStyle w:val="Hyperlink"/>
            <w:noProof/>
          </w:rPr>
          <w:t>Editions</w:t>
        </w:r>
        <w:r w:rsidR="00C5542A">
          <w:rPr>
            <w:noProof/>
            <w:webHidden/>
          </w:rPr>
          <w:tab/>
        </w:r>
        <w:r>
          <w:rPr>
            <w:noProof/>
            <w:webHidden/>
          </w:rPr>
          <w:fldChar w:fldCharType="begin"/>
        </w:r>
        <w:r w:rsidR="00C5542A">
          <w:rPr>
            <w:noProof/>
            <w:webHidden/>
          </w:rPr>
          <w:instrText xml:space="preserve"> PAGEREF _Toc178405159 \h </w:instrText>
        </w:r>
        <w:r>
          <w:rPr>
            <w:noProof/>
            <w:webHidden/>
          </w:rPr>
        </w:r>
        <w:r>
          <w:rPr>
            <w:noProof/>
            <w:webHidden/>
          </w:rPr>
          <w:fldChar w:fldCharType="separate"/>
        </w:r>
        <w:r w:rsidR="00C5542A">
          <w:rPr>
            <w:noProof/>
            <w:webHidden/>
          </w:rPr>
          <w:t>2</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0" w:history="1">
        <w:r w:rsidR="00C5542A" w:rsidRPr="00C2712B">
          <w:rPr>
            <w:rStyle w:val="Hyperlink"/>
            <w:noProof/>
          </w:rPr>
          <w:t>Options</w:t>
        </w:r>
        <w:r w:rsidR="00C5542A">
          <w:rPr>
            <w:noProof/>
            <w:webHidden/>
          </w:rPr>
          <w:tab/>
        </w:r>
        <w:r>
          <w:rPr>
            <w:noProof/>
            <w:webHidden/>
          </w:rPr>
          <w:fldChar w:fldCharType="begin"/>
        </w:r>
        <w:r w:rsidR="00C5542A">
          <w:rPr>
            <w:noProof/>
            <w:webHidden/>
          </w:rPr>
          <w:instrText xml:space="preserve"> PAGEREF _Toc178405160 \h </w:instrText>
        </w:r>
        <w:r>
          <w:rPr>
            <w:noProof/>
            <w:webHidden/>
          </w:rPr>
        </w:r>
        <w:r>
          <w:rPr>
            <w:noProof/>
            <w:webHidden/>
          </w:rPr>
          <w:fldChar w:fldCharType="separate"/>
        </w:r>
        <w:r w:rsidR="00C5542A">
          <w:rPr>
            <w:noProof/>
            <w:webHidden/>
          </w:rPr>
          <w:t>3</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1" w:history="1">
        <w:r w:rsidR="00C5542A" w:rsidRPr="00C2712B">
          <w:rPr>
            <w:rStyle w:val="Hyperlink"/>
            <w:noProof/>
          </w:rPr>
          <w:t>Multicore Licensing</w:t>
        </w:r>
        <w:r w:rsidR="00C5542A">
          <w:rPr>
            <w:noProof/>
            <w:webHidden/>
          </w:rPr>
          <w:tab/>
        </w:r>
        <w:r>
          <w:rPr>
            <w:noProof/>
            <w:webHidden/>
          </w:rPr>
          <w:fldChar w:fldCharType="begin"/>
        </w:r>
        <w:r w:rsidR="00C5542A">
          <w:rPr>
            <w:noProof/>
            <w:webHidden/>
          </w:rPr>
          <w:instrText xml:space="preserve"> PAGEREF _Toc178405161 \h </w:instrText>
        </w:r>
        <w:r>
          <w:rPr>
            <w:noProof/>
            <w:webHidden/>
          </w:rPr>
        </w:r>
        <w:r>
          <w:rPr>
            <w:noProof/>
            <w:webHidden/>
          </w:rPr>
          <w:fldChar w:fldCharType="separate"/>
        </w:r>
        <w:r w:rsidR="00C5542A">
          <w:rPr>
            <w:noProof/>
            <w:webHidden/>
          </w:rPr>
          <w:t>4</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2" w:history="1">
        <w:r w:rsidR="00C5542A" w:rsidRPr="00C2712B">
          <w:rPr>
            <w:rStyle w:val="Hyperlink"/>
            <w:noProof/>
          </w:rPr>
          <w:t>User Licensing</w:t>
        </w:r>
        <w:r w:rsidR="00C5542A">
          <w:rPr>
            <w:noProof/>
            <w:webHidden/>
          </w:rPr>
          <w:tab/>
        </w:r>
        <w:r>
          <w:rPr>
            <w:noProof/>
            <w:webHidden/>
          </w:rPr>
          <w:fldChar w:fldCharType="begin"/>
        </w:r>
        <w:r w:rsidR="00C5542A">
          <w:rPr>
            <w:noProof/>
            <w:webHidden/>
          </w:rPr>
          <w:instrText xml:space="preserve"> PAGEREF _Toc178405162 \h </w:instrText>
        </w:r>
        <w:r>
          <w:rPr>
            <w:noProof/>
            <w:webHidden/>
          </w:rPr>
        </w:r>
        <w:r>
          <w:rPr>
            <w:noProof/>
            <w:webHidden/>
          </w:rPr>
          <w:fldChar w:fldCharType="separate"/>
        </w:r>
        <w:r w:rsidR="00C5542A">
          <w:rPr>
            <w:noProof/>
            <w:webHidden/>
          </w:rPr>
          <w:t>6</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3" w:history="1">
        <w:r w:rsidR="00C5542A" w:rsidRPr="00C2712B">
          <w:rPr>
            <w:rStyle w:val="Hyperlink"/>
            <w:noProof/>
          </w:rPr>
          <w:t>Virtualization</w:t>
        </w:r>
        <w:r w:rsidR="00C5542A">
          <w:rPr>
            <w:noProof/>
            <w:webHidden/>
          </w:rPr>
          <w:tab/>
        </w:r>
        <w:r>
          <w:rPr>
            <w:noProof/>
            <w:webHidden/>
          </w:rPr>
          <w:fldChar w:fldCharType="begin"/>
        </w:r>
        <w:r w:rsidR="00C5542A">
          <w:rPr>
            <w:noProof/>
            <w:webHidden/>
          </w:rPr>
          <w:instrText xml:space="preserve"> PAGEREF _Toc178405163 \h </w:instrText>
        </w:r>
        <w:r>
          <w:rPr>
            <w:noProof/>
            <w:webHidden/>
          </w:rPr>
        </w:r>
        <w:r>
          <w:rPr>
            <w:noProof/>
            <w:webHidden/>
          </w:rPr>
          <w:fldChar w:fldCharType="separate"/>
        </w:r>
        <w:r w:rsidR="00C5542A">
          <w:rPr>
            <w:noProof/>
            <w:webHidden/>
          </w:rPr>
          <w:t>8</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4" w:history="1">
        <w:r w:rsidR="00C5542A" w:rsidRPr="00C2712B">
          <w:rPr>
            <w:rStyle w:val="Hyperlink"/>
            <w:noProof/>
          </w:rPr>
          <w:t>Maintenance and Support</w:t>
        </w:r>
        <w:r w:rsidR="00C5542A">
          <w:rPr>
            <w:noProof/>
            <w:webHidden/>
          </w:rPr>
          <w:tab/>
        </w:r>
        <w:r>
          <w:rPr>
            <w:noProof/>
            <w:webHidden/>
          </w:rPr>
          <w:fldChar w:fldCharType="begin"/>
        </w:r>
        <w:r w:rsidR="00C5542A">
          <w:rPr>
            <w:noProof/>
            <w:webHidden/>
          </w:rPr>
          <w:instrText xml:space="preserve"> PAGEREF _Toc178405164 \h </w:instrText>
        </w:r>
        <w:r>
          <w:rPr>
            <w:noProof/>
            <w:webHidden/>
          </w:rPr>
        </w:r>
        <w:r>
          <w:rPr>
            <w:noProof/>
            <w:webHidden/>
          </w:rPr>
          <w:fldChar w:fldCharType="separate"/>
        </w:r>
        <w:r w:rsidR="00C5542A">
          <w:rPr>
            <w:noProof/>
            <w:webHidden/>
          </w:rPr>
          <w:t>8</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5" w:history="1">
        <w:r w:rsidR="00C5542A" w:rsidRPr="00C2712B">
          <w:rPr>
            <w:rStyle w:val="Hyperlink"/>
            <w:noProof/>
          </w:rPr>
          <w:t>Price Comparison</w:t>
        </w:r>
        <w:r w:rsidR="00C5542A">
          <w:rPr>
            <w:noProof/>
            <w:webHidden/>
          </w:rPr>
          <w:tab/>
        </w:r>
        <w:r>
          <w:rPr>
            <w:noProof/>
            <w:webHidden/>
          </w:rPr>
          <w:fldChar w:fldCharType="begin"/>
        </w:r>
        <w:r w:rsidR="00C5542A">
          <w:rPr>
            <w:noProof/>
            <w:webHidden/>
          </w:rPr>
          <w:instrText xml:space="preserve"> PAGEREF _Toc178405165 \h </w:instrText>
        </w:r>
        <w:r>
          <w:rPr>
            <w:noProof/>
            <w:webHidden/>
          </w:rPr>
        </w:r>
        <w:r>
          <w:rPr>
            <w:noProof/>
            <w:webHidden/>
          </w:rPr>
          <w:fldChar w:fldCharType="separate"/>
        </w:r>
        <w:r w:rsidR="00C5542A">
          <w:rPr>
            <w:noProof/>
            <w:webHidden/>
          </w:rPr>
          <w:t>9</w:t>
        </w:r>
        <w:r>
          <w:rPr>
            <w:noProof/>
            <w:webHidden/>
          </w:rPr>
          <w:fldChar w:fldCharType="end"/>
        </w:r>
      </w:hyperlink>
    </w:p>
    <w:p w:rsidR="00C5542A" w:rsidRDefault="00A601F0">
      <w:pPr>
        <w:pStyle w:val="TOC2"/>
        <w:rPr>
          <w:rFonts w:asciiTheme="minorHAnsi" w:eastAsiaTheme="minorEastAsia" w:hAnsiTheme="minorHAnsi" w:cstheme="minorBidi"/>
          <w:noProof/>
          <w:color w:val="auto"/>
          <w:sz w:val="22"/>
          <w:szCs w:val="22"/>
        </w:rPr>
      </w:pPr>
      <w:hyperlink w:anchor="_Toc178405166" w:history="1">
        <w:r w:rsidR="00C5542A" w:rsidRPr="00C2712B">
          <w:rPr>
            <w:rStyle w:val="Hyperlink"/>
            <w:noProof/>
          </w:rPr>
          <w:t>Microsoft SQL Server 2005 and Oracle 11g</w:t>
        </w:r>
        <w:r w:rsidR="00C5542A">
          <w:rPr>
            <w:noProof/>
            <w:webHidden/>
          </w:rPr>
          <w:tab/>
        </w:r>
        <w:r>
          <w:rPr>
            <w:noProof/>
            <w:webHidden/>
          </w:rPr>
          <w:fldChar w:fldCharType="begin"/>
        </w:r>
        <w:r w:rsidR="00C5542A">
          <w:rPr>
            <w:noProof/>
            <w:webHidden/>
          </w:rPr>
          <w:instrText xml:space="preserve"> PAGEREF _Toc178405166 \h </w:instrText>
        </w:r>
        <w:r>
          <w:rPr>
            <w:noProof/>
            <w:webHidden/>
          </w:rPr>
        </w:r>
        <w:r>
          <w:rPr>
            <w:noProof/>
            <w:webHidden/>
          </w:rPr>
          <w:fldChar w:fldCharType="separate"/>
        </w:r>
        <w:r w:rsidR="00C5542A">
          <w:rPr>
            <w:noProof/>
            <w:webHidden/>
          </w:rPr>
          <w:t>9</w:t>
        </w:r>
        <w:r>
          <w:rPr>
            <w:noProof/>
            <w:webHidden/>
          </w:rPr>
          <w:fldChar w:fldCharType="end"/>
        </w:r>
      </w:hyperlink>
    </w:p>
    <w:p w:rsidR="00C5542A" w:rsidRDefault="00A601F0">
      <w:pPr>
        <w:pStyle w:val="TOC2"/>
        <w:rPr>
          <w:rFonts w:asciiTheme="minorHAnsi" w:eastAsiaTheme="minorEastAsia" w:hAnsiTheme="minorHAnsi" w:cstheme="minorBidi"/>
          <w:noProof/>
          <w:color w:val="auto"/>
          <w:sz w:val="22"/>
          <w:szCs w:val="22"/>
        </w:rPr>
      </w:pPr>
      <w:hyperlink w:anchor="_Toc178405167" w:history="1">
        <w:r w:rsidR="00C5542A" w:rsidRPr="00C2712B">
          <w:rPr>
            <w:rStyle w:val="Hyperlink"/>
            <w:noProof/>
          </w:rPr>
          <w:t>Microsoft SQL Server 2005 and IBM DB2 9</w:t>
        </w:r>
        <w:r w:rsidR="00C5542A">
          <w:rPr>
            <w:noProof/>
            <w:webHidden/>
          </w:rPr>
          <w:tab/>
        </w:r>
        <w:r>
          <w:rPr>
            <w:noProof/>
            <w:webHidden/>
          </w:rPr>
          <w:fldChar w:fldCharType="begin"/>
        </w:r>
        <w:r w:rsidR="00C5542A">
          <w:rPr>
            <w:noProof/>
            <w:webHidden/>
          </w:rPr>
          <w:instrText xml:space="preserve"> PAGEREF _Toc178405167 \h </w:instrText>
        </w:r>
        <w:r>
          <w:rPr>
            <w:noProof/>
            <w:webHidden/>
          </w:rPr>
        </w:r>
        <w:r>
          <w:rPr>
            <w:noProof/>
            <w:webHidden/>
          </w:rPr>
          <w:fldChar w:fldCharType="separate"/>
        </w:r>
        <w:r w:rsidR="00C5542A">
          <w:rPr>
            <w:noProof/>
            <w:webHidden/>
          </w:rPr>
          <w:t>11</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8" w:history="1">
        <w:r w:rsidR="00C5542A" w:rsidRPr="00C2712B">
          <w:rPr>
            <w:rStyle w:val="Hyperlink"/>
            <w:noProof/>
            <w:snapToGrid w:val="0"/>
          </w:rPr>
          <w:t>Total Cost of Ownership (TCO)</w:t>
        </w:r>
        <w:r w:rsidR="00C5542A">
          <w:rPr>
            <w:noProof/>
            <w:webHidden/>
          </w:rPr>
          <w:tab/>
        </w:r>
        <w:r>
          <w:rPr>
            <w:noProof/>
            <w:webHidden/>
          </w:rPr>
          <w:fldChar w:fldCharType="begin"/>
        </w:r>
        <w:r w:rsidR="00C5542A">
          <w:rPr>
            <w:noProof/>
            <w:webHidden/>
          </w:rPr>
          <w:instrText xml:space="preserve"> PAGEREF _Toc178405168 \h </w:instrText>
        </w:r>
        <w:r>
          <w:rPr>
            <w:noProof/>
            <w:webHidden/>
          </w:rPr>
        </w:r>
        <w:r>
          <w:rPr>
            <w:noProof/>
            <w:webHidden/>
          </w:rPr>
          <w:fldChar w:fldCharType="separate"/>
        </w:r>
        <w:r w:rsidR="00C5542A">
          <w:rPr>
            <w:noProof/>
            <w:webHidden/>
          </w:rPr>
          <w:t>12</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69" w:history="1">
        <w:r w:rsidR="00C5542A" w:rsidRPr="00C2712B">
          <w:rPr>
            <w:rStyle w:val="Hyperlink"/>
            <w:noProof/>
          </w:rPr>
          <w:t>Conclusion</w:t>
        </w:r>
        <w:r w:rsidR="00C5542A">
          <w:rPr>
            <w:noProof/>
            <w:webHidden/>
          </w:rPr>
          <w:tab/>
        </w:r>
        <w:r>
          <w:rPr>
            <w:noProof/>
            <w:webHidden/>
          </w:rPr>
          <w:fldChar w:fldCharType="begin"/>
        </w:r>
        <w:r w:rsidR="00C5542A">
          <w:rPr>
            <w:noProof/>
            <w:webHidden/>
          </w:rPr>
          <w:instrText xml:space="preserve"> PAGEREF _Toc178405169 \h </w:instrText>
        </w:r>
        <w:r>
          <w:rPr>
            <w:noProof/>
            <w:webHidden/>
          </w:rPr>
        </w:r>
        <w:r>
          <w:rPr>
            <w:noProof/>
            <w:webHidden/>
          </w:rPr>
          <w:fldChar w:fldCharType="separate"/>
        </w:r>
        <w:r w:rsidR="00C5542A">
          <w:rPr>
            <w:noProof/>
            <w:webHidden/>
          </w:rPr>
          <w:t>13</w:t>
        </w:r>
        <w:r>
          <w:rPr>
            <w:noProof/>
            <w:webHidden/>
          </w:rPr>
          <w:fldChar w:fldCharType="end"/>
        </w:r>
      </w:hyperlink>
    </w:p>
    <w:p w:rsidR="00C5542A" w:rsidRDefault="00A601F0">
      <w:pPr>
        <w:pStyle w:val="TOC1"/>
        <w:rPr>
          <w:rFonts w:asciiTheme="minorHAnsi" w:eastAsiaTheme="minorEastAsia" w:hAnsiTheme="minorHAnsi" w:cstheme="minorBidi"/>
          <w:b w:val="0"/>
          <w:noProof/>
          <w:color w:val="auto"/>
          <w:kern w:val="0"/>
          <w:sz w:val="22"/>
        </w:rPr>
      </w:pPr>
      <w:hyperlink w:anchor="_Toc178405170" w:history="1">
        <w:r w:rsidR="00C5542A" w:rsidRPr="00C2712B">
          <w:rPr>
            <w:rStyle w:val="Hyperlink"/>
            <w:noProof/>
          </w:rPr>
          <w:t>Reference</w:t>
        </w:r>
        <w:r w:rsidR="00C5542A">
          <w:rPr>
            <w:noProof/>
            <w:webHidden/>
          </w:rPr>
          <w:tab/>
        </w:r>
        <w:r>
          <w:rPr>
            <w:noProof/>
            <w:webHidden/>
          </w:rPr>
          <w:fldChar w:fldCharType="begin"/>
        </w:r>
        <w:r w:rsidR="00C5542A">
          <w:rPr>
            <w:noProof/>
            <w:webHidden/>
          </w:rPr>
          <w:instrText xml:space="preserve"> PAGEREF _Toc178405170 \h </w:instrText>
        </w:r>
        <w:r>
          <w:rPr>
            <w:noProof/>
            <w:webHidden/>
          </w:rPr>
        </w:r>
        <w:r>
          <w:rPr>
            <w:noProof/>
            <w:webHidden/>
          </w:rPr>
          <w:fldChar w:fldCharType="separate"/>
        </w:r>
        <w:r w:rsidR="00C5542A">
          <w:rPr>
            <w:noProof/>
            <w:webHidden/>
          </w:rPr>
          <w:t>13</w:t>
        </w:r>
        <w:r>
          <w:rPr>
            <w:noProof/>
            <w:webHidden/>
          </w:rPr>
          <w:fldChar w:fldCharType="end"/>
        </w:r>
      </w:hyperlink>
    </w:p>
    <w:p w:rsidR="004D3B9B" w:rsidRDefault="00A601F0">
      <w:pPr>
        <w:pStyle w:val="Text"/>
      </w:pPr>
      <w:r>
        <w:fldChar w:fldCharType="end"/>
      </w:r>
    </w:p>
    <w:p w:rsidR="00D96B40" w:rsidRDefault="00D96B40">
      <w:pPr>
        <w:rPr>
          <w:rFonts w:ascii="Verdana" w:hAnsi="Verdana"/>
          <w:color w:val="000000"/>
        </w:rPr>
      </w:pPr>
      <w:r>
        <w:br w:type="page"/>
      </w:r>
    </w:p>
    <w:p w:rsidR="004D3B9B" w:rsidRDefault="004D3B9B">
      <w:pPr>
        <w:pStyle w:val="Text"/>
        <w:sectPr w:rsidR="004D3B9B">
          <w:headerReference w:type="default" r:id="rId10"/>
          <w:footerReference w:type="default" r:id="rId11"/>
          <w:headerReference w:type="first" r:id="rId12"/>
          <w:footerReference w:type="first" r:id="rId13"/>
          <w:type w:val="oddPage"/>
          <w:pgSz w:w="12240" w:h="15840"/>
          <w:pgMar w:top="1440" w:right="1660" w:bottom="1440" w:left="1660" w:header="1020" w:footer="1020" w:gutter="0"/>
          <w:cols w:space="720"/>
          <w:titlePg/>
          <w:docGrid w:linePitch="360"/>
        </w:sectPr>
      </w:pPr>
    </w:p>
    <w:p w:rsidR="00690A78" w:rsidRPr="004602B2" w:rsidRDefault="00057AD4" w:rsidP="008C4E60">
      <w:pPr>
        <w:pStyle w:val="Heading4"/>
      </w:pPr>
      <w:bookmarkStart w:id="2" w:name="_Toc178405157"/>
      <w:r>
        <w:lastRenderedPageBreak/>
        <w:t>Executive Summary</w:t>
      </w:r>
      <w:bookmarkEnd w:id="2"/>
    </w:p>
    <w:p w:rsidR="00057AD4" w:rsidRPr="00057AD4" w:rsidRDefault="00345AD2" w:rsidP="00057AD4">
      <w:pPr>
        <w:pStyle w:val="Text"/>
      </w:pPr>
      <w:r>
        <w:t>T</w:t>
      </w:r>
      <w:r w:rsidR="00057AD4" w:rsidRPr="00057AD4">
        <w:t>his paper explain</w:t>
      </w:r>
      <w:r>
        <w:t>s</w:t>
      </w:r>
      <w:r w:rsidR="00057AD4" w:rsidRPr="00057AD4">
        <w:t xml:space="preserve"> the different ways in which databases are priced and compare</w:t>
      </w:r>
      <w:r>
        <w:t>s</w:t>
      </w:r>
      <w:r w:rsidR="00057AD4" w:rsidRPr="00057AD4">
        <w:t xml:space="preserve"> pricing for the three leading database vendors: Microsoft</w:t>
      </w:r>
      <w:r w:rsidR="00683356" w:rsidRPr="00683356">
        <w:rPr>
          <w:rStyle w:val="Trademark"/>
        </w:rPr>
        <w:t>®</w:t>
      </w:r>
      <w:r w:rsidR="00057AD4" w:rsidRPr="00057AD4">
        <w:t xml:space="preserve">, Oracle, and IBM. Understanding the direct and indirect costs of deploying and managing an enterprise database solution allows customers to make a more informed decision when considering which database is best for their organization. Knowing all components of the licensing models and multicore technology and how these influence the overall cost </w:t>
      </w:r>
      <w:r>
        <w:t xml:space="preserve">of a database system </w:t>
      </w:r>
      <w:r w:rsidR="00057AD4" w:rsidRPr="00057AD4">
        <w:t>is a crucial step in understanding database pricing.</w:t>
      </w:r>
    </w:p>
    <w:p w:rsidR="00057AD4" w:rsidRPr="00057AD4" w:rsidRDefault="00057AD4" w:rsidP="00057AD4">
      <w:pPr>
        <w:pStyle w:val="Text"/>
      </w:pPr>
      <w:r w:rsidRPr="00057AD4">
        <w:t>For example, Microsoft has adopted a simple multicore licensing policy, in which it reduce</w:t>
      </w:r>
      <w:r w:rsidR="00345AD2">
        <w:t>s</w:t>
      </w:r>
      <w:r w:rsidRPr="00057AD4">
        <w:t xml:space="preserve"> enterprise software costs by licensing physical processors, not cores, for Microsoft software </w:t>
      </w:r>
      <w:r w:rsidR="00345AD2">
        <w:t xml:space="preserve">that is </w:t>
      </w:r>
      <w:r w:rsidRPr="00057AD4">
        <w:t xml:space="preserve">licensed on a </w:t>
      </w:r>
      <w:r w:rsidR="00345AD2" w:rsidRPr="00057AD4">
        <w:t>per</w:t>
      </w:r>
      <w:r w:rsidR="00345AD2">
        <w:t>-</w:t>
      </w:r>
      <w:r w:rsidRPr="00057AD4">
        <w:t xml:space="preserve">processor basis. </w:t>
      </w:r>
      <w:r w:rsidR="00345AD2">
        <w:t>L</w:t>
      </w:r>
      <w:r w:rsidRPr="00057AD4">
        <w:t xml:space="preserve">icensing requirements for per-processor software </w:t>
      </w:r>
      <w:r w:rsidR="00345AD2">
        <w:t>is</w:t>
      </w:r>
      <w:r w:rsidRPr="00057AD4">
        <w:t xml:space="preserve"> determined by the number of processors, not </w:t>
      </w:r>
      <w:r w:rsidR="00345AD2">
        <w:t xml:space="preserve">the number of </w:t>
      </w:r>
      <w:r w:rsidRPr="00057AD4">
        <w:t>cores</w:t>
      </w:r>
      <w:r w:rsidR="004F3560">
        <w:t xml:space="preserve">. </w:t>
      </w:r>
      <w:r w:rsidR="001F088F">
        <w:t>O</w:t>
      </w:r>
      <w:r w:rsidRPr="00057AD4">
        <w:t xml:space="preserve">ther vendors such as Oracle and IBM have more complex licensing policies such as licensing per core or by processor value unit </w:t>
      </w:r>
      <w:r w:rsidR="001F088F">
        <w:t>where</w:t>
      </w:r>
      <w:r w:rsidRPr="00057AD4">
        <w:t xml:space="preserve"> customers end up paying </w:t>
      </w:r>
      <w:r w:rsidR="001F088F" w:rsidRPr="00057AD4">
        <w:t>substantially</w:t>
      </w:r>
      <w:r w:rsidRPr="00057AD4">
        <w:t xml:space="preserve"> more for multicore systems</w:t>
      </w:r>
      <w:r w:rsidR="004F3560">
        <w:t xml:space="preserve">. </w:t>
      </w:r>
      <w:r w:rsidRPr="00057AD4">
        <w:t xml:space="preserve">As systems with more cores become available, the difference will become even more dramatic. </w:t>
      </w:r>
    </w:p>
    <w:p w:rsidR="001F088F" w:rsidRDefault="00057AD4" w:rsidP="00057AD4">
      <w:pPr>
        <w:pStyle w:val="Text"/>
      </w:pPr>
      <w:r w:rsidRPr="00057AD4">
        <w:t>For companies making the initial database decision, this paper also explain</w:t>
      </w:r>
      <w:r w:rsidR="001F088F">
        <w:t>s</w:t>
      </w:r>
      <w:r w:rsidRPr="00057AD4">
        <w:t xml:space="preserve"> the general pricing philosophy </w:t>
      </w:r>
      <w:r w:rsidR="001F088F">
        <w:t xml:space="preserve">employed by </w:t>
      </w:r>
      <w:r w:rsidRPr="00057AD4">
        <w:t>each vendor</w:t>
      </w:r>
      <w:r w:rsidR="001F088F">
        <w:t xml:space="preserve"> so that</w:t>
      </w:r>
      <w:r w:rsidRPr="00057AD4">
        <w:t xml:space="preserve"> organizations </w:t>
      </w:r>
      <w:r w:rsidR="001F088F">
        <w:t xml:space="preserve">can </w:t>
      </w:r>
      <w:r w:rsidRPr="00057AD4">
        <w:t>avoid typical pitfalls or pricing traps</w:t>
      </w:r>
      <w:r w:rsidR="004F3560">
        <w:t xml:space="preserve">. </w:t>
      </w:r>
    </w:p>
    <w:p w:rsidR="00057AD4" w:rsidRPr="00057AD4" w:rsidRDefault="001F088F" w:rsidP="00057AD4">
      <w:pPr>
        <w:pStyle w:val="Text"/>
      </w:pPr>
      <w:r>
        <w:t>W</w:t>
      </w:r>
      <w:r w:rsidR="00057AD4" w:rsidRPr="00057AD4">
        <w:t>hen evaluating different databases, customers should be aware of what functionality is included in the base product and what can be obtained only through options</w:t>
      </w:r>
      <w:r w:rsidR="004F3560">
        <w:t xml:space="preserve">. </w:t>
      </w:r>
      <w:r w:rsidR="00057AD4" w:rsidRPr="00057AD4">
        <w:t xml:space="preserve">For example, some vendors such as </w:t>
      </w:r>
      <w:smartTag w:uri="urn:schemas-microsoft-com:office:smarttags" w:element="stockticker">
        <w:r w:rsidR="00057AD4" w:rsidRPr="00057AD4">
          <w:t>IBM</w:t>
        </w:r>
      </w:smartTag>
      <w:r w:rsidR="00057AD4" w:rsidRPr="00057AD4">
        <w:t xml:space="preserve"> and Oracle include limited functionality in their base products and offer ad</w:t>
      </w:r>
      <w:r w:rsidR="004F3560">
        <w:t>ditional functionality through "</w:t>
      </w:r>
      <w:r w:rsidR="00057AD4" w:rsidRPr="00057AD4">
        <w:t>options</w:t>
      </w:r>
      <w:r w:rsidR="004F3560">
        <w:t>"</w:t>
      </w:r>
      <w:r w:rsidR="00057AD4" w:rsidRPr="00057AD4">
        <w:t xml:space="preserve"> or </w:t>
      </w:r>
      <w:r w:rsidR="004F3560">
        <w:t>"</w:t>
      </w:r>
      <w:r w:rsidR="00057AD4" w:rsidRPr="00057AD4">
        <w:t>add-ons.</w:t>
      </w:r>
      <w:r w:rsidR="004F3560">
        <w:t>"</w:t>
      </w:r>
      <w:r w:rsidR="00057AD4" w:rsidRPr="00057AD4">
        <w:t xml:space="preserve"> These options can be very expensive and sometimes end up costing more than the base product itself</w:t>
      </w:r>
      <w:r w:rsidR="004F3560">
        <w:t xml:space="preserve">. </w:t>
      </w:r>
      <w:r w:rsidR="00057AD4" w:rsidRPr="00057AD4">
        <w:t xml:space="preserve">In comparison, Microsoft customers do not have to buy any additional </w:t>
      </w:r>
      <w:r>
        <w:t xml:space="preserve">options or </w:t>
      </w:r>
      <w:r w:rsidR="00057AD4" w:rsidRPr="00057AD4">
        <w:t xml:space="preserve">add-ons for additional functionality. </w:t>
      </w:r>
    </w:p>
    <w:p w:rsidR="00057AD4" w:rsidRPr="00057AD4" w:rsidRDefault="002D0BC6" w:rsidP="00057AD4">
      <w:pPr>
        <w:pStyle w:val="Text"/>
      </w:pPr>
      <w:r>
        <w:t>If you do</w:t>
      </w:r>
      <w:r w:rsidR="00057AD4">
        <w:t xml:space="preserve"> the critical analysi</w:t>
      </w:r>
      <w:r w:rsidR="00057AD4" w:rsidRPr="00057AD4">
        <w:t xml:space="preserve">s, </w:t>
      </w:r>
      <w:r w:rsidR="00A316FA">
        <w:t xml:space="preserve">Microsoft </w:t>
      </w:r>
      <w:r w:rsidR="00057AD4" w:rsidRPr="00057AD4">
        <w:t>SQL Server</w:t>
      </w:r>
      <w:r w:rsidR="00A316FA" w:rsidRPr="00A316FA">
        <w:rPr>
          <w:rStyle w:val="Trademark"/>
        </w:rPr>
        <w:t>®</w:t>
      </w:r>
      <w:r w:rsidR="00A316FA">
        <w:t> </w:t>
      </w:r>
      <w:r w:rsidR="00057AD4" w:rsidRPr="00057AD4">
        <w:t>2005 prove</w:t>
      </w:r>
      <w:r>
        <w:t>s</w:t>
      </w:r>
      <w:r w:rsidR="00057AD4" w:rsidRPr="00057AD4">
        <w:t xml:space="preserve"> to </w:t>
      </w:r>
      <w:r>
        <w:t>be</w:t>
      </w:r>
      <w:r w:rsidRPr="00057AD4">
        <w:t xml:space="preserve"> </w:t>
      </w:r>
      <w:r w:rsidR="00057AD4" w:rsidRPr="00057AD4">
        <w:t>a cost-</w:t>
      </w:r>
      <w:r w:rsidR="002A5133">
        <w:t xml:space="preserve">effective solution </w:t>
      </w:r>
      <w:r w:rsidR="00A316FA">
        <w:t xml:space="preserve">that </w:t>
      </w:r>
      <w:r w:rsidR="00057AD4" w:rsidRPr="00057AD4">
        <w:t>meet</w:t>
      </w:r>
      <w:r>
        <w:t>s</w:t>
      </w:r>
      <w:r w:rsidR="00057AD4" w:rsidRPr="00057AD4">
        <w:t xml:space="preserve"> users’ high service-level expectations. With savings across hardware, software, operations, and maintenance</w:t>
      </w:r>
      <w:r w:rsidR="00A316FA">
        <w:t>,</w:t>
      </w:r>
      <w:r w:rsidR="00057AD4" w:rsidRPr="00057AD4">
        <w:t xml:space="preserve"> the benefits of SQL Server 2005 are substantial.</w:t>
      </w:r>
    </w:p>
    <w:p w:rsidR="00057AD4" w:rsidRDefault="00A316FA" w:rsidP="00057AD4">
      <w:pPr>
        <w:pStyle w:val="Text"/>
      </w:pPr>
      <w:r>
        <w:t xml:space="preserve">The following </w:t>
      </w:r>
      <w:r w:rsidR="00057AD4" w:rsidRPr="00057AD4">
        <w:t xml:space="preserve">table </w:t>
      </w:r>
      <w:r>
        <w:t>shows</w:t>
      </w:r>
      <w:r w:rsidR="00057AD4" w:rsidRPr="00057AD4">
        <w:t xml:space="preserve"> the different licensing options available from each vendor</w:t>
      </w:r>
      <w:r>
        <w:t>; these are</w:t>
      </w:r>
      <w:r w:rsidR="00057AD4" w:rsidRPr="00057AD4">
        <w:t xml:space="preserve"> covered in more detail in this paper.</w:t>
      </w:r>
    </w:p>
    <w:p w:rsidR="0070516A" w:rsidRDefault="0070516A" w:rsidP="00683356">
      <w:pPr>
        <w:pStyle w:val="TableSpacingAfter"/>
      </w:pPr>
    </w:p>
    <w:tbl>
      <w:tblPr>
        <w:tblW w:w="8208" w:type="dxa"/>
        <w:tblBorders>
          <w:top w:val="single" w:sz="12" w:space="0" w:color="000000"/>
          <w:bottom w:val="single" w:sz="12" w:space="0" w:color="000000"/>
        </w:tblBorders>
        <w:tblLook w:val="04A0"/>
      </w:tblPr>
      <w:tblGrid>
        <w:gridCol w:w="3348"/>
        <w:gridCol w:w="2070"/>
        <w:gridCol w:w="1440"/>
        <w:gridCol w:w="1350"/>
      </w:tblGrid>
      <w:tr w:rsidR="0070516A" w:rsidRPr="00134582" w:rsidTr="008726DD">
        <w:tc>
          <w:tcPr>
            <w:tcW w:w="3348" w:type="dxa"/>
            <w:tcBorders>
              <w:bottom w:val="single" w:sz="6" w:space="0" w:color="000000"/>
              <w:right w:val="single" w:sz="6" w:space="0" w:color="000000"/>
            </w:tcBorders>
            <w:shd w:val="clear" w:color="auto" w:fill="000000"/>
            <w:hideMark/>
          </w:tcPr>
          <w:p w:rsidR="0070516A" w:rsidRPr="00134582" w:rsidRDefault="0070516A" w:rsidP="008726DD">
            <w:pPr>
              <w:rPr>
                <w:rFonts w:ascii="Calibri" w:hAnsi="Calibri"/>
                <w:b/>
                <w:bCs/>
                <w:i/>
                <w:iCs/>
                <w:color w:val="FFFFFF"/>
                <w:sz w:val="18"/>
                <w:szCs w:val="18"/>
                <w:highlight w:val="black"/>
              </w:rPr>
            </w:pPr>
            <w:r w:rsidRPr="00134582">
              <w:rPr>
                <w:rFonts w:ascii="Calibri" w:hAnsi="Calibri"/>
                <w:b/>
                <w:i/>
                <w:iCs/>
                <w:color w:val="FFFFFF"/>
                <w:sz w:val="18"/>
                <w:szCs w:val="18"/>
                <w:highlight w:val="black"/>
              </w:rPr>
              <w:t>Licensing Option</w:t>
            </w:r>
          </w:p>
        </w:tc>
        <w:tc>
          <w:tcPr>
            <w:tcW w:w="2070" w:type="dxa"/>
            <w:tcBorders>
              <w:bottom w:val="single" w:sz="6" w:space="0" w:color="000000"/>
            </w:tcBorders>
            <w:shd w:val="clear" w:color="auto" w:fill="000000"/>
            <w:hideMark/>
          </w:tcPr>
          <w:p w:rsidR="0070516A" w:rsidRPr="00134582" w:rsidRDefault="0070516A" w:rsidP="00A316FA">
            <w:pPr>
              <w:jc w:val="center"/>
              <w:rPr>
                <w:rFonts w:ascii="Calibri" w:hAnsi="Calibri"/>
                <w:b/>
                <w:bCs/>
                <w:i/>
                <w:iCs/>
                <w:color w:val="FFFFFF"/>
                <w:sz w:val="18"/>
                <w:szCs w:val="18"/>
                <w:highlight w:val="black"/>
              </w:rPr>
            </w:pPr>
            <w:r w:rsidRPr="00134582">
              <w:rPr>
                <w:rFonts w:ascii="Calibri" w:hAnsi="Calibri"/>
                <w:b/>
                <w:i/>
                <w:iCs/>
                <w:color w:val="FFFFFF"/>
                <w:sz w:val="18"/>
                <w:szCs w:val="18"/>
                <w:highlight w:val="black"/>
              </w:rPr>
              <w:t>Microsoft SQL Server</w:t>
            </w:r>
            <w:r w:rsidR="00A316FA">
              <w:rPr>
                <w:rFonts w:ascii="Calibri" w:hAnsi="Calibri"/>
                <w:b/>
                <w:i/>
                <w:iCs/>
                <w:color w:val="FFFFFF"/>
                <w:sz w:val="18"/>
                <w:szCs w:val="18"/>
                <w:highlight w:val="black"/>
              </w:rPr>
              <w:t> </w:t>
            </w:r>
            <w:r>
              <w:rPr>
                <w:rFonts w:ascii="Calibri" w:hAnsi="Calibri"/>
                <w:b/>
                <w:i/>
                <w:iCs/>
                <w:color w:val="FFFFFF"/>
                <w:sz w:val="18"/>
                <w:szCs w:val="18"/>
                <w:highlight w:val="black"/>
              </w:rPr>
              <w:t>2005</w:t>
            </w:r>
          </w:p>
        </w:tc>
        <w:tc>
          <w:tcPr>
            <w:tcW w:w="1440" w:type="dxa"/>
            <w:tcBorders>
              <w:bottom w:val="single" w:sz="6" w:space="0" w:color="000000"/>
            </w:tcBorders>
            <w:shd w:val="clear" w:color="auto" w:fill="000000"/>
          </w:tcPr>
          <w:p w:rsidR="0070516A" w:rsidRPr="00134582" w:rsidRDefault="0070516A" w:rsidP="008726DD">
            <w:pPr>
              <w:jc w:val="center"/>
              <w:rPr>
                <w:rFonts w:ascii="Calibri" w:hAnsi="Calibri"/>
                <w:b/>
                <w:bCs/>
                <w:i/>
                <w:iCs/>
                <w:color w:val="FFFFFF"/>
                <w:sz w:val="18"/>
                <w:szCs w:val="18"/>
                <w:highlight w:val="black"/>
              </w:rPr>
            </w:pPr>
            <w:r w:rsidRPr="00134582">
              <w:rPr>
                <w:rFonts w:ascii="Calibri" w:hAnsi="Calibri"/>
                <w:b/>
                <w:i/>
                <w:iCs/>
                <w:color w:val="FFFFFF"/>
                <w:sz w:val="18"/>
                <w:szCs w:val="18"/>
                <w:highlight w:val="black"/>
              </w:rPr>
              <w:t>IBM DB2</w:t>
            </w:r>
            <w:r>
              <w:rPr>
                <w:rFonts w:ascii="Calibri" w:hAnsi="Calibri"/>
                <w:b/>
                <w:i/>
                <w:iCs/>
                <w:color w:val="FFFFFF"/>
                <w:sz w:val="18"/>
                <w:szCs w:val="18"/>
                <w:highlight w:val="black"/>
              </w:rPr>
              <w:t xml:space="preserve"> 9</w:t>
            </w:r>
          </w:p>
        </w:tc>
        <w:tc>
          <w:tcPr>
            <w:tcW w:w="1350" w:type="dxa"/>
            <w:tcBorders>
              <w:bottom w:val="single" w:sz="6" w:space="0" w:color="000000"/>
            </w:tcBorders>
            <w:shd w:val="clear" w:color="auto" w:fill="000000"/>
            <w:hideMark/>
          </w:tcPr>
          <w:p w:rsidR="0070516A" w:rsidRPr="00134582" w:rsidRDefault="0070516A" w:rsidP="008726DD">
            <w:pPr>
              <w:jc w:val="center"/>
              <w:rPr>
                <w:rFonts w:ascii="Calibri" w:hAnsi="Calibri"/>
                <w:b/>
                <w:bCs/>
                <w:i/>
                <w:iCs/>
                <w:color w:val="FFFFFF"/>
                <w:sz w:val="18"/>
                <w:szCs w:val="18"/>
                <w:highlight w:val="black"/>
              </w:rPr>
            </w:pPr>
            <w:r w:rsidRPr="00134582">
              <w:rPr>
                <w:rFonts w:ascii="Calibri" w:hAnsi="Calibri"/>
                <w:b/>
                <w:i/>
                <w:iCs/>
                <w:color w:val="FFFFFF"/>
                <w:sz w:val="18"/>
                <w:szCs w:val="18"/>
                <w:highlight w:val="black"/>
              </w:rPr>
              <w:t>Oracle 11g</w:t>
            </w:r>
          </w:p>
        </w:tc>
      </w:tr>
      <w:tr w:rsidR="0070516A" w:rsidRPr="00134582" w:rsidTr="008726DD">
        <w:tc>
          <w:tcPr>
            <w:tcW w:w="3348" w:type="dxa"/>
            <w:tcBorders>
              <w:right w:val="single" w:sz="6" w:space="0" w:color="000000"/>
            </w:tcBorders>
            <w:shd w:val="clear" w:color="auto" w:fill="auto"/>
            <w:hideMark/>
          </w:tcPr>
          <w:p w:rsidR="0070516A" w:rsidRPr="00134582" w:rsidRDefault="0070516A" w:rsidP="00D14FA5">
            <w:pPr>
              <w:pStyle w:val="lastincell"/>
              <w:rPr>
                <w:rFonts w:ascii="Calibri" w:hAnsi="Calibri"/>
                <w:b/>
                <w:bCs/>
                <w:sz w:val="18"/>
                <w:szCs w:val="18"/>
              </w:rPr>
            </w:pPr>
            <w:r w:rsidRPr="00134582">
              <w:rPr>
                <w:rFonts w:ascii="Calibri" w:hAnsi="Calibri"/>
                <w:sz w:val="18"/>
                <w:szCs w:val="18"/>
              </w:rPr>
              <w:t>Choice of Processor or User Licensing</w:t>
            </w:r>
          </w:p>
        </w:tc>
        <w:tc>
          <w:tcPr>
            <w:tcW w:w="2070" w:type="dxa"/>
            <w:shd w:val="clear" w:color="auto" w:fill="auto"/>
            <w:hideMark/>
          </w:tcPr>
          <w:p w:rsidR="0070516A" w:rsidRPr="00134582" w:rsidRDefault="0070516A" w:rsidP="008726DD">
            <w:pPr>
              <w:pStyle w:val="lastincell"/>
              <w:jc w:val="center"/>
              <w:rPr>
                <w:rFonts w:ascii="Calibri" w:hAnsi="Calibri"/>
                <w:sz w:val="18"/>
                <w:szCs w:val="18"/>
              </w:rPr>
            </w:pPr>
            <w:r>
              <w:rPr>
                <w:rFonts w:ascii="Calibri" w:hAnsi="Calibri"/>
                <w:noProof/>
                <w:sz w:val="18"/>
                <w:szCs w:val="18"/>
              </w:rPr>
              <w:drawing>
                <wp:inline distT="0" distB="0" distL="0" distR="0">
                  <wp:extent cx="171450" cy="180975"/>
                  <wp:effectExtent l="19050" t="0" r="0" b="0"/>
                  <wp:docPr id="11"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1440" w:type="dxa"/>
            <w:shd w:val="clear" w:color="auto" w:fill="auto"/>
          </w:tcPr>
          <w:p w:rsidR="0070516A" w:rsidRPr="00134582" w:rsidRDefault="0070516A" w:rsidP="008726DD">
            <w:pPr>
              <w:pStyle w:val="lastincell"/>
              <w:jc w:val="center"/>
              <w:rPr>
                <w:rFonts w:ascii="Calibri" w:hAnsi="Calibri"/>
                <w:sz w:val="18"/>
                <w:szCs w:val="18"/>
              </w:rPr>
            </w:pPr>
            <w:r>
              <w:rPr>
                <w:rFonts w:ascii="Calibri" w:hAnsi="Calibri"/>
                <w:noProof/>
                <w:sz w:val="18"/>
                <w:szCs w:val="18"/>
              </w:rPr>
              <w:drawing>
                <wp:inline distT="0" distB="0" distL="0" distR="0">
                  <wp:extent cx="171450" cy="180975"/>
                  <wp:effectExtent l="19050" t="0" r="0" b="0"/>
                  <wp:docPr id="10"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1350" w:type="dxa"/>
            <w:shd w:val="clear" w:color="auto" w:fill="auto"/>
            <w:hideMark/>
          </w:tcPr>
          <w:p w:rsidR="0070516A" w:rsidRPr="00134582" w:rsidRDefault="0070516A" w:rsidP="008726DD">
            <w:pPr>
              <w:pStyle w:val="lastincell"/>
              <w:jc w:val="center"/>
              <w:rPr>
                <w:rFonts w:ascii="Calibri" w:hAnsi="Calibri"/>
                <w:sz w:val="18"/>
                <w:szCs w:val="18"/>
              </w:rPr>
            </w:pPr>
            <w:r>
              <w:rPr>
                <w:rFonts w:ascii="Calibri" w:hAnsi="Calibri"/>
                <w:noProof/>
                <w:sz w:val="18"/>
                <w:szCs w:val="18"/>
              </w:rPr>
              <w:drawing>
                <wp:inline distT="0" distB="0" distL="0" distR="0">
                  <wp:extent cx="171450" cy="180975"/>
                  <wp:effectExtent l="19050" t="0" r="0" b="0"/>
                  <wp:docPr id="3"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r>
      <w:tr w:rsidR="0070516A" w:rsidRPr="00134582" w:rsidTr="008726DD">
        <w:tc>
          <w:tcPr>
            <w:tcW w:w="3348" w:type="dxa"/>
            <w:tcBorders>
              <w:right w:val="single" w:sz="6" w:space="0" w:color="000000"/>
            </w:tcBorders>
            <w:shd w:val="clear" w:color="auto" w:fill="auto"/>
            <w:hideMark/>
          </w:tcPr>
          <w:p w:rsidR="0070516A" w:rsidRPr="00134582" w:rsidRDefault="0070516A" w:rsidP="00D14FA5">
            <w:pPr>
              <w:pStyle w:val="lastincell"/>
              <w:rPr>
                <w:rFonts w:ascii="Calibri" w:hAnsi="Calibri"/>
                <w:b/>
                <w:bCs/>
                <w:sz w:val="18"/>
                <w:szCs w:val="18"/>
              </w:rPr>
            </w:pPr>
            <w:r w:rsidRPr="00134582">
              <w:rPr>
                <w:rFonts w:ascii="Calibri" w:hAnsi="Calibri"/>
                <w:sz w:val="18"/>
                <w:szCs w:val="18"/>
              </w:rPr>
              <w:t xml:space="preserve">Out-of-the-box features without </w:t>
            </w:r>
            <w:r w:rsidR="00D14FA5">
              <w:rPr>
                <w:rFonts w:ascii="Calibri" w:hAnsi="Calibri"/>
                <w:sz w:val="18"/>
                <w:szCs w:val="18"/>
              </w:rPr>
              <w:t>o</w:t>
            </w:r>
            <w:r w:rsidRPr="00134582">
              <w:rPr>
                <w:rFonts w:ascii="Calibri" w:hAnsi="Calibri"/>
                <w:sz w:val="18"/>
                <w:szCs w:val="18"/>
              </w:rPr>
              <w:t>ptions</w:t>
            </w:r>
          </w:p>
        </w:tc>
        <w:tc>
          <w:tcPr>
            <w:tcW w:w="2070" w:type="dxa"/>
            <w:shd w:val="clear" w:color="auto" w:fill="auto"/>
            <w:hideMark/>
          </w:tcPr>
          <w:p w:rsidR="0070516A" w:rsidRPr="00134582" w:rsidRDefault="0070516A" w:rsidP="008726DD">
            <w:pPr>
              <w:pStyle w:val="lastincell"/>
              <w:jc w:val="center"/>
              <w:rPr>
                <w:rFonts w:ascii="Calibri" w:hAnsi="Calibri"/>
                <w:sz w:val="18"/>
                <w:szCs w:val="18"/>
              </w:rPr>
            </w:pPr>
            <w:r>
              <w:rPr>
                <w:rFonts w:ascii="Calibri" w:hAnsi="Calibri"/>
                <w:noProof/>
                <w:sz w:val="18"/>
                <w:szCs w:val="18"/>
              </w:rPr>
              <w:drawing>
                <wp:inline distT="0" distB="0" distL="0" distR="0">
                  <wp:extent cx="171450" cy="180975"/>
                  <wp:effectExtent l="19050" t="0" r="0" b="0"/>
                  <wp:docPr id="4"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1440" w:type="dxa"/>
            <w:shd w:val="clear" w:color="auto" w:fill="auto"/>
          </w:tcPr>
          <w:p w:rsidR="0070516A" w:rsidRPr="00134582" w:rsidRDefault="0070516A" w:rsidP="008726DD">
            <w:pPr>
              <w:pStyle w:val="lastincell"/>
              <w:jc w:val="center"/>
              <w:rPr>
                <w:rFonts w:ascii="Calibri" w:hAnsi="Calibri"/>
                <w:sz w:val="18"/>
                <w:szCs w:val="18"/>
              </w:rPr>
            </w:pPr>
          </w:p>
        </w:tc>
        <w:tc>
          <w:tcPr>
            <w:tcW w:w="1350" w:type="dxa"/>
            <w:shd w:val="clear" w:color="auto" w:fill="auto"/>
            <w:hideMark/>
          </w:tcPr>
          <w:p w:rsidR="0070516A" w:rsidRPr="00134582" w:rsidRDefault="0070516A" w:rsidP="008726DD">
            <w:pPr>
              <w:pStyle w:val="lastincell"/>
              <w:jc w:val="center"/>
              <w:rPr>
                <w:rFonts w:ascii="Calibri" w:hAnsi="Calibri"/>
                <w:sz w:val="18"/>
                <w:szCs w:val="18"/>
              </w:rPr>
            </w:pPr>
          </w:p>
        </w:tc>
      </w:tr>
      <w:tr w:rsidR="0070516A" w:rsidRPr="00134582" w:rsidTr="008726DD">
        <w:tc>
          <w:tcPr>
            <w:tcW w:w="3348" w:type="dxa"/>
            <w:tcBorders>
              <w:right w:val="single" w:sz="6" w:space="0" w:color="000000"/>
            </w:tcBorders>
            <w:shd w:val="clear" w:color="auto" w:fill="auto"/>
            <w:hideMark/>
          </w:tcPr>
          <w:p w:rsidR="0070516A" w:rsidRPr="00134582" w:rsidRDefault="0070516A" w:rsidP="008726DD">
            <w:pPr>
              <w:pStyle w:val="lastincell"/>
              <w:rPr>
                <w:rFonts w:ascii="Calibri" w:hAnsi="Calibri"/>
                <w:b/>
                <w:bCs/>
                <w:sz w:val="18"/>
                <w:szCs w:val="18"/>
              </w:rPr>
            </w:pPr>
            <w:r w:rsidRPr="00134582">
              <w:rPr>
                <w:rFonts w:ascii="Calibri" w:hAnsi="Calibri"/>
                <w:sz w:val="18"/>
                <w:szCs w:val="18"/>
              </w:rPr>
              <w:t>Lower Cost Multicore Licensing</w:t>
            </w:r>
          </w:p>
        </w:tc>
        <w:tc>
          <w:tcPr>
            <w:tcW w:w="2070" w:type="dxa"/>
            <w:shd w:val="clear" w:color="auto" w:fill="auto"/>
            <w:hideMark/>
          </w:tcPr>
          <w:p w:rsidR="0070516A" w:rsidRPr="00134582" w:rsidRDefault="0070516A" w:rsidP="008726DD">
            <w:pPr>
              <w:pStyle w:val="lastincell"/>
              <w:jc w:val="center"/>
              <w:rPr>
                <w:rFonts w:ascii="Calibri" w:hAnsi="Calibri"/>
                <w:sz w:val="18"/>
                <w:szCs w:val="18"/>
              </w:rPr>
            </w:pPr>
            <w:r>
              <w:rPr>
                <w:rFonts w:ascii="Calibri" w:hAnsi="Calibri"/>
                <w:noProof/>
                <w:sz w:val="18"/>
                <w:szCs w:val="18"/>
              </w:rPr>
              <w:drawing>
                <wp:inline distT="0" distB="0" distL="0" distR="0">
                  <wp:extent cx="171450" cy="180975"/>
                  <wp:effectExtent l="19050" t="0" r="0" b="0"/>
                  <wp:docPr id="5"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1440" w:type="dxa"/>
            <w:shd w:val="clear" w:color="auto" w:fill="auto"/>
          </w:tcPr>
          <w:p w:rsidR="0070516A" w:rsidRPr="00134582" w:rsidRDefault="0070516A" w:rsidP="008726DD">
            <w:pPr>
              <w:pStyle w:val="lastincell"/>
              <w:jc w:val="center"/>
              <w:rPr>
                <w:rFonts w:ascii="Calibri" w:hAnsi="Calibri"/>
                <w:sz w:val="18"/>
                <w:szCs w:val="18"/>
              </w:rPr>
            </w:pPr>
          </w:p>
        </w:tc>
        <w:tc>
          <w:tcPr>
            <w:tcW w:w="1350" w:type="dxa"/>
            <w:shd w:val="clear" w:color="auto" w:fill="auto"/>
            <w:hideMark/>
          </w:tcPr>
          <w:p w:rsidR="0070516A" w:rsidRPr="00134582" w:rsidRDefault="0070516A" w:rsidP="008726DD">
            <w:pPr>
              <w:pStyle w:val="lastincell"/>
              <w:jc w:val="center"/>
              <w:rPr>
                <w:rFonts w:ascii="Calibri" w:hAnsi="Calibri"/>
                <w:sz w:val="18"/>
                <w:szCs w:val="18"/>
              </w:rPr>
            </w:pPr>
          </w:p>
        </w:tc>
      </w:tr>
      <w:tr w:rsidR="0070516A" w:rsidRPr="00134582" w:rsidTr="008726DD">
        <w:tc>
          <w:tcPr>
            <w:tcW w:w="3348" w:type="dxa"/>
            <w:tcBorders>
              <w:right w:val="single" w:sz="6" w:space="0" w:color="000000"/>
            </w:tcBorders>
            <w:shd w:val="clear" w:color="auto" w:fill="auto"/>
            <w:hideMark/>
          </w:tcPr>
          <w:p w:rsidR="0070516A" w:rsidRPr="00134582" w:rsidRDefault="0070516A" w:rsidP="008726DD">
            <w:pPr>
              <w:pStyle w:val="lastincell"/>
              <w:rPr>
                <w:rFonts w:ascii="Calibri" w:hAnsi="Calibri"/>
                <w:b/>
                <w:bCs/>
                <w:sz w:val="18"/>
                <w:szCs w:val="18"/>
              </w:rPr>
            </w:pPr>
            <w:r w:rsidRPr="00134582">
              <w:rPr>
                <w:rFonts w:ascii="Calibri" w:hAnsi="Calibri"/>
                <w:sz w:val="18"/>
                <w:szCs w:val="18"/>
              </w:rPr>
              <w:t>Support</w:t>
            </w:r>
            <w:r w:rsidR="00D14FA5">
              <w:rPr>
                <w:rFonts w:ascii="Calibri" w:hAnsi="Calibri"/>
                <w:sz w:val="18"/>
                <w:szCs w:val="18"/>
              </w:rPr>
              <w:t>s</w:t>
            </w:r>
            <w:r w:rsidRPr="00134582">
              <w:rPr>
                <w:rFonts w:ascii="Calibri" w:hAnsi="Calibri"/>
                <w:sz w:val="18"/>
                <w:szCs w:val="18"/>
              </w:rPr>
              <w:t xml:space="preserve"> Virtualization Licensing</w:t>
            </w:r>
          </w:p>
        </w:tc>
        <w:tc>
          <w:tcPr>
            <w:tcW w:w="2070" w:type="dxa"/>
            <w:shd w:val="clear" w:color="auto" w:fill="auto"/>
            <w:hideMark/>
          </w:tcPr>
          <w:p w:rsidR="0070516A" w:rsidRPr="00134582" w:rsidRDefault="0070516A" w:rsidP="008726DD">
            <w:pPr>
              <w:pStyle w:val="lastincell"/>
              <w:jc w:val="center"/>
              <w:rPr>
                <w:rFonts w:ascii="Calibri" w:hAnsi="Calibri"/>
                <w:sz w:val="18"/>
                <w:szCs w:val="18"/>
              </w:rPr>
            </w:pPr>
            <w:r>
              <w:rPr>
                <w:rFonts w:ascii="Calibri" w:hAnsi="Calibri"/>
                <w:noProof/>
                <w:sz w:val="18"/>
                <w:szCs w:val="18"/>
              </w:rPr>
              <w:drawing>
                <wp:inline distT="0" distB="0" distL="0" distR="0">
                  <wp:extent cx="171450" cy="180975"/>
                  <wp:effectExtent l="19050" t="0" r="0" b="0"/>
                  <wp:docPr id="6"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1440" w:type="dxa"/>
            <w:shd w:val="clear" w:color="auto" w:fill="auto"/>
          </w:tcPr>
          <w:p w:rsidR="0070516A" w:rsidRPr="00134582" w:rsidRDefault="0070516A" w:rsidP="008726DD">
            <w:pPr>
              <w:pStyle w:val="lastincell"/>
              <w:jc w:val="center"/>
              <w:rPr>
                <w:rFonts w:ascii="Calibri" w:hAnsi="Calibri"/>
                <w:noProof/>
                <w:sz w:val="18"/>
                <w:szCs w:val="18"/>
              </w:rPr>
            </w:pPr>
            <w:r>
              <w:rPr>
                <w:rFonts w:ascii="Calibri" w:hAnsi="Calibri"/>
                <w:noProof/>
                <w:sz w:val="18"/>
                <w:szCs w:val="18"/>
              </w:rPr>
              <w:drawing>
                <wp:inline distT="0" distB="0" distL="0" distR="0">
                  <wp:extent cx="171450" cy="180975"/>
                  <wp:effectExtent l="19050" t="0" r="0" b="0"/>
                  <wp:docPr id="7"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1350" w:type="dxa"/>
            <w:shd w:val="clear" w:color="auto" w:fill="auto"/>
            <w:hideMark/>
          </w:tcPr>
          <w:p w:rsidR="0070516A" w:rsidRPr="00134582" w:rsidRDefault="0070516A" w:rsidP="008726DD">
            <w:pPr>
              <w:pStyle w:val="lastincell"/>
              <w:jc w:val="center"/>
              <w:rPr>
                <w:rFonts w:ascii="Calibri" w:hAnsi="Calibri"/>
                <w:sz w:val="18"/>
                <w:szCs w:val="18"/>
              </w:rPr>
            </w:pPr>
          </w:p>
        </w:tc>
      </w:tr>
      <w:tr w:rsidR="0070516A" w:rsidRPr="00134582" w:rsidTr="008726DD">
        <w:trPr>
          <w:trHeight w:val="315"/>
        </w:trPr>
        <w:tc>
          <w:tcPr>
            <w:tcW w:w="3348" w:type="dxa"/>
            <w:tcBorders>
              <w:right w:val="single" w:sz="6" w:space="0" w:color="000000"/>
            </w:tcBorders>
            <w:shd w:val="clear" w:color="auto" w:fill="auto"/>
            <w:hideMark/>
          </w:tcPr>
          <w:p w:rsidR="0070516A" w:rsidRPr="00134582" w:rsidRDefault="0070516A" w:rsidP="008726DD">
            <w:pPr>
              <w:pStyle w:val="lastincell"/>
              <w:rPr>
                <w:rFonts w:ascii="Calibri" w:hAnsi="Calibri"/>
                <w:b/>
                <w:bCs/>
                <w:sz w:val="18"/>
                <w:szCs w:val="18"/>
              </w:rPr>
            </w:pPr>
            <w:r w:rsidRPr="00134582">
              <w:rPr>
                <w:rFonts w:ascii="Calibri" w:hAnsi="Calibri"/>
                <w:sz w:val="18"/>
                <w:szCs w:val="18"/>
              </w:rPr>
              <w:t>Lower Cost Named User Licensing</w:t>
            </w:r>
          </w:p>
        </w:tc>
        <w:tc>
          <w:tcPr>
            <w:tcW w:w="2070" w:type="dxa"/>
            <w:shd w:val="clear" w:color="auto" w:fill="auto"/>
            <w:hideMark/>
          </w:tcPr>
          <w:p w:rsidR="0070516A" w:rsidRPr="00134582" w:rsidRDefault="0070516A" w:rsidP="008726DD">
            <w:pPr>
              <w:pStyle w:val="lastincell"/>
              <w:jc w:val="center"/>
              <w:rPr>
                <w:rFonts w:ascii="Calibri" w:hAnsi="Calibri"/>
                <w:sz w:val="18"/>
                <w:szCs w:val="18"/>
              </w:rPr>
            </w:pPr>
            <w:r>
              <w:rPr>
                <w:rFonts w:ascii="Calibri" w:hAnsi="Calibri"/>
                <w:noProof/>
                <w:sz w:val="18"/>
                <w:szCs w:val="18"/>
              </w:rPr>
              <w:drawing>
                <wp:inline distT="0" distB="0" distL="0" distR="0">
                  <wp:extent cx="171450" cy="180975"/>
                  <wp:effectExtent l="19050" t="0" r="0" b="0"/>
                  <wp:docPr id="8" name="Picture 1"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ed"/>
                          <pic:cNvPicPr>
                            <a:picLocks noChangeAspect="1" noChangeArrowheads="1"/>
                          </pic:cNvPicPr>
                        </pic:nvPicPr>
                        <pic:blipFill>
                          <a:blip r:embed="rId14"/>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1440" w:type="dxa"/>
            <w:shd w:val="clear" w:color="auto" w:fill="auto"/>
          </w:tcPr>
          <w:p w:rsidR="0070516A" w:rsidRPr="00134582" w:rsidRDefault="0070516A" w:rsidP="008726DD">
            <w:pPr>
              <w:jc w:val="center"/>
              <w:rPr>
                <w:rFonts w:ascii="Calibri" w:hAnsi="Calibri"/>
                <w:sz w:val="18"/>
                <w:szCs w:val="18"/>
              </w:rPr>
            </w:pPr>
          </w:p>
        </w:tc>
        <w:tc>
          <w:tcPr>
            <w:tcW w:w="1350" w:type="dxa"/>
            <w:shd w:val="clear" w:color="auto" w:fill="auto"/>
            <w:hideMark/>
          </w:tcPr>
          <w:p w:rsidR="0070516A" w:rsidRPr="00134582" w:rsidRDefault="0070516A" w:rsidP="008726DD">
            <w:pPr>
              <w:jc w:val="center"/>
              <w:rPr>
                <w:rFonts w:ascii="Calibri" w:hAnsi="Calibri"/>
                <w:sz w:val="18"/>
                <w:szCs w:val="18"/>
              </w:rPr>
            </w:pPr>
          </w:p>
        </w:tc>
      </w:tr>
    </w:tbl>
    <w:p w:rsidR="00057AD4" w:rsidRDefault="00057AD4" w:rsidP="00683356">
      <w:pPr>
        <w:pStyle w:val="TableSpacingAfter"/>
      </w:pPr>
    </w:p>
    <w:p w:rsidR="00243AEC" w:rsidRDefault="00790687" w:rsidP="00243AEC">
      <w:pPr>
        <w:pStyle w:val="Heading4"/>
      </w:pPr>
      <w:bookmarkStart w:id="3" w:name="_Toc178405158"/>
      <w:r>
        <w:t>Introduction</w:t>
      </w:r>
      <w:bookmarkEnd w:id="3"/>
    </w:p>
    <w:p w:rsidR="00790687" w:rsidRPr="00790687" w:rsidRDefault="00790687" w:rsidP="00790687">
      <w:pPr>
        <w:pStyle w:val="Text"/>
      </w:pPr>
      <w:bookmarkStart w:id="4" w:name="_Toc421704336"/>
      <w:bookmarkStart w:id="5" w:name="_Toc430591515"/>
      <w:r w:rsidRPr="00790687">
        <w:t xml:space="preserve">Historically, database pricing has been very hard to understand. Complex pricing and licensing models make side-by-side comparisons difficult. At first glance, some </w:t>
      </w:r>
      <w:r w:rsidRPr="00790687">
        <w:lastRenderedPageBreak/>
        <w:t xml:space="preserve">database software products may seem inexpensive, but some vendors impose hidden costs beyond the </w:t>
      </w:r>
      <w:r w:rsidR="00D14FA5">
        <w:t>initial</w:t>
      </w:r>
      <w:r w:rsidR="00D14FA5" w:rsidRPr="00790687">
        <w:t xml:space="preserve"> </w:t>
      </w:r>
      <w:r w:rsidRPr="00790687">
        <w:t>purchase price and, over time, customers are forced to pay exorbitant amounts of money for functionality that they had assumed to be part of the original product. When considering database pricing</w:t>
      </w:r>
      <w:r w:rsidR="00D14FA5">
        <w:t>,</w:t>
      </w:r>
      <w:r w:rsidRPr="00790687">
        <w:t xml:space="preserve"> it is important to take into account not only the direct costs of deploying and using the solution</w:t>
      </w:r>
      <w:r w:rsidR="00D14FA5">
        <w:t>,</w:t>
      </w:r>
      <w:r w:rsidRPr="00790687">
        <w:t xml:space="preserve"> but also the indirect costs.</w:t>
      </w:r>
    </w:p>
    <w:p w:rsidR="00790687" w:rsidRPr="00790687" w:rsidRDefault="00790687" w:rsidP="00790687">
      <w:pPr>
        <w:pStyle w:val="Text"/>
      </w:pPr>
      <w:r w:rsidRPr="00790687">
        <w:t>In addition, advancements in hardware and software technology play a major role in database pricing</w:t>
      </w:r>
      <w:r w:rsidR="004F3560">
        <w:t xml:space="preserve">. </w:t>
      </w:r>
      <w:r w:rsidRPr="00790687">
        <w:t>As organizations continue to streamline costs, IT departments are looking for cost-effective solutions that meet their high-level expectations. They are being asked to reduce costs, yet deliver higher levels of data availability, performance, and reliability to support business needs</w:t>
      </w:r>
      <w:r w:rsidR="004F3560">
        <w:t xml:space="preserve">. </w:t>
      </w:r>
    </w:p>
    <w:p w:rsidR="00790687" w:rsidRPr="00790687" w:rsidRDefault="00D14FA5" w:rsidP="00790687">
      <w:pPr>
        <w:pStyle w:val="Text"/>
      </w:pPr>
      <w:r>
        <w:t>Following</w:t>
      </w:r>
      <w:r w:rsidR="00790687" w:rsidRPr="00790687">
        <w:t xml:space="preserve"> are </w:t>
      </w:r>
      <w:r>
        <w:t>some</w:t>
      </w:r>
      <w:r w:rsidR="00790687" w:rsidRPr="00790687">
        <w:t xml:space="preserve"> of the </w:t>
      </w:r>
      <w:r>
        <w:t>database pricing topics</w:t>
      </w:r>
      <w:r w:rsidR="00790687" w:rsidRPr="00790687">
        <w:t xml:space="preserve"> </w:t>
      </w:r>
      <w:r>
        <w:t xml:space="preserve">that are </w:t>
      </w:r>
      <w:r w:rsidR="00790687" w:rsidRPr="00790687">
        <w:t>covered in this paper:</w:t>
      </w:r>
    </w:p>
    <w:p w:rsidR="00790687" w:rsidRPr="00790687" w:rsidRDefault="00790687" w:rsidP="00790687">
      <w:pPr>
        <w:pStyle w:val="Text"/>
        <w:numPr>
          <w:ilvl w:val="0"/>
          <w:numId w:val="20"/>
        </w:numPr>
      </w:pPr>
      <w:r w:rsidRPr="00790687">
        <w:t>Editions</w:t>
      </w:r>
    </w:p>
    <w:p w:rsidR="00790687" w:rsidRPr="00790687" w:rsidRDefault="00790687" w:rsidP="00790687">
      <w:pPr>
        <w:pStyle w:val="Text"/>
        <w:numPr>
          <w:ilvl w:val="0"/>
          <w:numId w:val="20"/>
        </w:numPr>
      </w:pPr>
      <w:r w:rsidRPr="00790687">
        <w:t>Options/add-ons</w:t>
      </w:r>
    </w:p>
    <w:p w:rsidR="00790687" w:rsidRPr="00790687" w:rsidRDefault="00790687" w:rsidP="00790687">
      <w:pPr>
        <w:pStyle w:val="Text"/>
        <w:numPr>
          <w:ilvl w:val="0"/>
          <w:numId w:val="20"/>
        </w:numPr>
      </w:pPr>
      <w:r w:rsidRPr="00790687">
        <w:t xml:space="preserve">Multicore </w:t>
      </w:r>
      <w:r w:rsidR="00E02EE9">
        <w:t>l</w:t>
      </w:r>
      <w:r w:rsidR="00E02EE9" w:rsidRPr="00790687">
        <w:t>icensing</w:t>
      </w:r>
    </w:p>
    <w:p w:rsidR="00790687" w:rsidRPr="00790687" w:rsidRDefault="00790687" w:rsidP="00790687">
      <w:pPr>
        <w:pStyle w:val="Text"/>
        <w:numPr>
          <w:ilvl w:val="0"/>
          <w:numId w:val="20"/>
        </w:numPr>
      </w:pPr>
      <w:r w:rsidRPr="00790687">
        <w:t xml:space="preserve">User </w:t>
      </w:r>
      <w:r w:rsidR="00E02EE9">
        <w:t>l</w:t>
      </w:r>
      <w:r w:rsidR="00E02EE9" w:rsidRPr="00790687">
        <w:t>icensing</w:t>
      </w:r>
    </w:p>
    <w:p w:rsidR="00790687" w:rsidRPr="00790687" w:rsidRDefault="00790687" w:rsidP="00790687">
      <w:pPr>
        <w:pStyle w:val="Text"/>
        <w:numPr>
          <w:ilvl w:val="0"/>
          <w:numId w:val="20"/>
        </w:numPr>
      </w:pPr>
      <w:r w:rsidRPr="00790687">
        <w:t>Virtualization</w:t>
      </w:r>
    </w:p>
    <w:p w:rsidR="00790687" w:rsidRPr="00790687" w:rsidRDefault="00790687" w:rsidP="00790687">
      <w:pPr>
        <w:pStyle w:val="Text"/>
        <w:numPr>
          <w:ilvl w:val="0"/>
          <w:numId w:val="20"/>
        </w:numPr>
      </w:pPr>
      <w:r w:rsidRPr="00790687">
        <w:t>Maintenance and support</w:t>
      </w:r>
    </w:p>
    <w:p w:rsidR="00790687" w:rsidRPr="00790687" w:rsidRDefault="00790687" w:rsidP="00790687">
      <w:pPr>
        <w:pStyle w:val="Text"/>
        <w:numPr>
          <w:ilvl w:val="0"/>
          <w:numId w:val="20"/>
        </w:numPr>
      </w:pPr>
      <w:r w:rsidRPr="00790687">
        <w:t>Price comparison</w:t>
      </w:r>
    </w:p>
    <w:p w:rsidR="00790687" w:rsidRPr="00790687" w:rsidRDefault="00790687" w:rsidP="00790687">
      <w:pPr>
        <w:pStyle w:val="Text"/>
        <w:numPr>
          <w:ilvl w:val="0"/>
          <w:numId w:val="20"/>
        </w:numPr>
      </w:pPr>
      <w:r w:rsidRPr="00790687">
        <w:t>Total cost of ownership (TCO)</w:t>
      </w:r>
      <w:bookmarkEnd w:id="4"/>
      <w:bookmarkEnd w:id="5"/>
    </w:p>
    <w:p w:rsidR="00690A78" w:rsidRDefault="00790687" w:rsidP="0032463F">
      <w:pPr>
        <w:pStyle w:val="Heading4"/>
      </w:pPr>
      <w:bookmarkStart w:id="6" w:name="_Toc178405159"/>
      <w:r>
        <w:t>Editions</w:t>
      </w:r>
      <w:bookmarkEnd w:id="6"/>
    </w:p>
    <w:p w:rsidR="00790687" w:rsidRPr="00790687" w:rsidRDefault="00790687" w:rsidP="00790687">
      <w:pPr>
        <w:pStyle w:val="Text"/>
      </w:pPr>
      <w:r w:rsidRPr="00790687">
        <w:t xml:space="preserve">The first concept to consider when buying database software is that of editions. Database editions allow companies to get access to different levels of functionality at varying price points. Vendors take different approaches to editions and typically target </w:t>
      </w:r>
      <w:r w:rsidR="00094C74">
        <w:t xml:space="preserve">their </w:t>
      </w:r>
      <w:r w:rsidRPr="00790687">
        <w:t>editions at specific market segments, making some options only available on certain editions.</w:t>
      </w:r>
    </w:p>
    <w:p w:rsidR="00790687" w:rsidRPr="00790687" w:rsidRDefault="00790687" w:rsidP="00790687">
      <w:pPr>
        <w:pStyle w:val="Text"/>
      </w:pPr>
      <w:r w:rsidRPr="00790687">
        <w:t>Typically, database editions fall under four tiers:</w:t>
      </w:r>
    </w:p>
    <w:p w:rsidR="00790687" w:rsidRPr="00790687" w:rsidRDefault="00790687" w:rsidP="00946DC9">
      <w:pPr>
        <w:pStyle w:val="BulletedList1"/>
      </w:pPr>
      <w:r w:rsidRPr="00790687">
        <w:rPr>
          <w:b/>
          <w:bCs/>
        </w:rPr>
        <w:t>Free:</w:t>
      </w:r>
      <w:r w:rsidRPr="00790687">
        <w:t xml:space="preserve"> Targeted at organizations that need to deploy a local data store and are willing to accept limits on features, memory, database size, number of users</w:t>
      </w:r>
      <w:r w:rsidR="00094C74">
        <w:t>,</w:t>
      </w:r>
      <w:r w:rsidRPr="00790687">
        <w:t xml:space="preserve"> and scalability.</w:t>
      </w:r>
    </w:p>
    <w:p w:rsidR="00790687" w:rsidRPr="00790687" w:rsidRDefault="00790687" w:rsidP="00946DC9">
      <w:pPr>
        <w:pStyle w:val="BulletedList1"/>
      </w:pPr>
      <w:r w:rsidRPr="00790687">
        <w:rPr>
          <w:b/>
          <w:bCs/>
        </w:rPr>
        <w:t>Basic:</w:t>
      </w:r>
      <w:r w:rsidRPr="00790687">
        <w:t xml:space="preserve"> Targeted at small- to medium-sized businesses </w:t>
      </w:r>
      <w:r w:rsidR="00094C74">
        <w:t>that have</w:t>
      </w:r>
      <w:r w:rsidRPr="00790687">
        <w:t xml:space="preserve"> basic </w:t>
      </w:r>
      <w:r w:rsidR="00E02EE9" w:rsidRPr="00790687">
        <w:t>data</w:t>
      </w:r>
      <w:r w:rsidR="00E02EE9">
        <w:t>-</w:t>
      </w:r>
      <w:r w:rsidRPr="00790687">
        <w:t xml:space="preserve">management requirements. These editions provide simplified management tools and basic database capabilities but are limited to the number of CPUs, and may also </w:t>
      </w:r>
      <w:r w:rsidR="00094C74">
        <w:t>have</w:t>
      </w:r>
      <w:r w:rsidRPr="00790687">
        <w:t xml:space="preserve"> limitations </w:t>
      </w:r>
      <w:r w:rsidR="00094C74">
        <w:t>on</w:t>
      </w:r>
      <w:r w:rsidRPr="00790687">
        <w:t xml:space="preserve"> memory, database size</w:t>
      </w:r>
      <w:r w:rsidR="00094C74">
        <w:t>,</w:t>
      </w:r>
      <w:r w:rsidRPr="00790687">
        <w:t xml:space="preserve"> or number of users.</w:t>
      </w:r>
    </w:p>
    <w:p w:rsidR="00790687" w:rsidRPr="00790687" w:rsidRDefault="00790687" w:rsidP="00946DC9">
      <w:pPr>
        <w:pStyle w:val="BulletedList1"/>
      </w:pPr>
      <w:r w:rsidRPr="00790687">
        <w:rPr>
          <w:b/>
          <w:bCs/>
        </w:rPr>
        <w:t>Standard:</w:t>
      </w:r>
      <w:r w:rsidRPr="00790687">
        <w:t xml:space="preserve"> Targeted at medium-sized business or departmental solutions. Standard editions are sometimes limited to a certain number of CPUs, and lack some of the sophisticated features of enterprise editions.</w:t>
      </w:r>
    </w:p>
    <w:p w:rsidR="00790687" w:rsidRPr="00790687" w:rsidRDefault="00790687" w:rsidP="00946DC9">
      <w:pPr>
        <w:pStyle w:val="BulletedList1"/>
      </w:pPr>
      <w:r w:rsidRPr="00790687">
        <w:rPr>
          <w:b/>
          <w:bCs/>
        </w:rPr>
        <w:t>Enterprise:</w:t>
      </w:r>
      <w:r w:rsidRPr="00790687">
        <w:t xml:space="preserve"> Targeted at large companies, for applications that require large volumes of data and/or high transaction throughput. </w:t>
      </w:r>
      <w:smartTag w:uri="urn:schemas-microsoft-com:office:smarttags" w:element="City">
        <w:smartTag w:uri="urn:schemas-microsoft-com:office:smarttags" w:element="place">
          <w:r w:rsidRPr="00790687">
            <w:t>Enterprise</w:t>
          </w:r>
        </w:smartTag>
      </w:smartTag>
      <w:r w:rsidRPr="00790687">
        <w:t xml:space="preserve"> editions include features such as high availability, clustering, and advanced management tools</w:t>
      </w:r>
      <w:r w:rsidR="00094C74">
        <w:t>; they</w:t>
      </w:r>
      <w:r w:rsidRPr="00790687">
        <w:t xml:space="preserve"> typically have no CPU or memory limitations.</w:t>
      </w:r>
    </w:p>
    <w:p w:rsidR="00790687" w:rsidRDefault="00790687" w:rsidP="00790687">
      <w:pPr>
        <w:pStyle w:val="Text"/>
      </w:pPr>
      <w:r w:rsidRPr="00790687">
        <w:t>The following table explains these four tiers in more detail:</w:t>
      </w:r>
    </w:p>
    <w:p w:rsidR="00C5542A" w:rsidRDefault="00C5542A">
      <w:pPr>
        <w:rPr>
          <w:rFonts w:ascii="Verdana" w:hAnsi="Verdana"/>
          <w:color w:val="000000"/>
        </w:rPr>
      </w:pPr>
      <w:r>
        <w:br w:type="page"/>
      </w:r>
    </w:p>
    <w:p w:rsidR="00C5542A" w:rsidRDefault="00C5542A" w:rsidP="00790687">
      <w:pPr>
        <w:pStyle w:val="Text"/>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880"/>
        <w:gridCol w:w="2700"/>
        <w:gridCol w:w="1710"/>
      </w:tblGrid>
      <w:tr w:rsidR="00790687" w:rsidRPr="00C95874" w:rsidTr="00C5542A">
        <w:trPr>
          <w:tblHeader/>
        </w:trPr>
        <w:tc>
          <w:tcPr>
            <w:tcW w:w="1188" w:type="dxa"/>
            <w:shd w:val="pct20" w:color="auto" w:fill="auto"/>
          </w:tcPr>
          <w:p w:rsidR="00790687" w:rsidRPr="0032781C" w:rsidRDefault="00790687" w:rsidP="00C5542A">
            <w:pPr>
              <w:pStyle w:val="TableHeading"/>
              <w:rPr>
                <w:rFonts w:ascii="Calibri" w:hAnsi="Calibri"/>
                <w:sz w:val="18"/>
                <w:szCs w:val="18"/>
              </w:rPr>
            </w:pPr>
            <w:r w:rsidRPr="0032781C">
              <w:rPr>
                <w:rFonts w:ascii="Calibri" w:hAnsi="Calibri"/>
                <w:sz w:val="18"/>
                <w:szCs w:val="18"/>
              </w:rPr>
              <w:t>Tier</w:t>
            </w:r>
          </w:p>
        </w:tc>
        <w:tc>
          <w:tcPr>
            <w:tcW w:w="2880" w:type="dxa"/>
            <w:shd w:val="pct20" w:color="auto" w:fill="auto"/>
          </w:tcPr>
          <w:p w:rsidR="00790687" w:rsidRPr="0032781C" w:rsidRDefault="00790687" w:rsidP="00C5542A">
            <w:pPr>
              <w:pStyle w:val="TableHeading"/>
              <w:rPr>
                <w:rFonts w:ascii="Calibri" w:hAnsi="Calibri"/>
                <w:sz w:val="18"/>
                <w:szCs w:val="18"/>
              </w:rPr>
            </w:pPr>
            <w:r w:rsidRPr="0032781C">
              <w:rPr>
                <w:rFonts w:ascii="Calibri" w:hAnsi="Calibri"/>
                <w:sz w:val="18"/>
                <w:szCs w:val="18"/>
              </w:rPr>
              <w:t>Features</w:t>
            </w:r>
          </w:p>
        </w:tc>
        <w:tc>
          <w:tcPr>
            <w:tcW w:w="2700" w:type="dxa"/>
            <w:shd w:val="pct20" w:color="auto" w:fill="auto"/>
          </w:tcPr>
          <w:p w:rsidR="00790687" w:rsidRPr="0032781C" w:rsidRDefault="00790687" w:rsidP="00C5542A">
            <w:pPr>
              <w:pStyle w:val="TableHeading"/>
              <w:rPr>
                <w:rFonts w:ascii="Calibri" w:hAnsi="Calibri"/>
                <w:sz w:val="18"/>
                <w:szCs w:val="18"/>
              </w:rPr>
            </w:pPr>
            <w:r w:rsidRPr="0032781C">
              <w:rPr>
                <w:rFonts w:ascii="Calibri" w:hAnsi="Calibri"/>
                <w:sz w:val="18"/>
                <w:szCs w:val="18"/>
              </w:rPr>
              <w:t>Sample Products</w:t>
            </w:r>
          </w:p>
        </w:tc>
        <w:tc>
          <w:tcPr>
            <w:tcW w:w="1710" w:type="dxa"/>
            <w:shd w:val="pct20" w:color="auto" w:fill="auto"/>
          </w:tcPr>
          <w:p w:rsidR="00790687" w:rsidRPr="0032781C" w:rsidRDefault="00790687" w:rsidP="00C5542A">
            <w:pPr>
              <w:pStyle w:val="TableHeading"/>
              <w:rPr>
                <w:rFonts w:ascii="Calibri" w:hAnsi="Calibri"/>
                <w:sz w:val="18"/>
                <w:szCs w:val="18"/>
              </w:rPr>
            </w:pPr>
            <w:r w:rsidRPr="0032781C">
              <w:rPr>
                <w:rFonts w:ascii="Calibri" w:hAnsi="Calibri"/>
                <w:sz w:val="18"/>
                <w:szCs w:val="18"/>
              </w:rPr>
              <w:t>Price</w:t>
            </w:r>
          </w:p>
        </w:tc>
      </w:tr>
      <w:tr w:rsidR="00790687" w:rsidRPr="00C95874" w:rsidTr="00C5542A">
        <w:trPr>
          <w:trHeight w:val="317"/>
        </w:trPr>
        <w:tc>
          <w:tcPr>
            <w:tcW w:w="1188" w:type="dxa"/>
          </w:tcPr>
          <w:p w:rsidR="00790687" w:rsidRPr="0032781C" w:rsidRDefault="00790687" w:rsidP="00C5542A">
            <w:pPr>
              <w:pStyle w:val="TableText"/>
              <w:rPr>
                <w:rFonts w:ascii="Calibri" w:hAnsi="Calibri"/>
                <w:b/>
              </w:rPr>
            </w:pPr>
            <w:r w:rsidRPr="0032781C">
              <w:rPr>
                <w:rFonts w:ascii="Calibri" w:hAnsi="Calibri"/>
                <w:b/>
              </w:rPr>
              <w:t>Free</w:t>
            </w:r>
          </w:p>
        </w:tc>
        <w:tc>
          <w:tcPr>
            <w:tcW w:w="288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Limited database functionality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Memory limits, database size limits, functionality limits</w:t>
            </w:r>
          </w:p>
        </w:tc>
        <w:tc>
          <w:tcPr>
            <w:tcW w:w="270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SQL Server Express Edition</w:t>
            </w:r>
          </w:p>
        </w:tc>
        <w:tc>
          <w:tcPr>
            <w:tcW w:w="1710" w:type="dxa"/>
          </w:tcPr>
          <w:p w:rsidR="00790687" w:rsidRPr="005A5BCC" w:rsidRDefault="00790687" w:rsidP="00C5542A">
            <w:pPr>
              <w:pStyle w:val="TableText"/>
              <w:rPr>
                <w:rFonts w:ascii="Calibri" w:hAnsi="Calibri"/>
              </w:rPr>
            </w:pPr>
            <w:r w:rsidRPr="005A5BCC">
              <w:rPr>
                <w:rFonts w:ascii="Calibri" w:hAnsi="Calibri"/>
              </w:rPr>
              <w:t>$0</w:t>
            </w:r>
          </w:p>
        </w:tc>
      </w:tr>
      <w:tr w:rsidR="00790687" w:rsidRPr="00C95874" w:rsidTr="00C5542A">
        <w:trPr>
          <w:trHeight w:val="317"/>
        </w:trPr>
        <w:tc>
          <w:tcPr>
            <w:tcW w:w="1188" w:type="dxa"/>
          </w:tcPr>
          <w:p w:rsidR="00790687" w:rsidRPr="0032781C" w:rsidRDefault="00790687" w:rsidP="00C5542A">
            <w:pPr>
              <w:pStyle w:val="TableText"/>
              <w:rPr>
                <w:rFonts w:ascii="Calibri" w:hAnsi="Calibri"/>
                <w:b/>
              </w:rPr>
            </w:pPr>
            <w:r w:rsidRPr="0032781C">
              <w:rPr>
                <w:rFonts w:ascii="Calibri" w:hAnsi="Calibri"/>
                <w:b/>
              </w:rPr>
              <w:t>Basic</w:t>
            </w:r>
            <w:r w:rsidRPr="0032781C" w:rsidDel="000E298D">
              <w:rPr>
                <w:rFonts w:ascii="Calibri" w:hAnsi="Calibri"/>
                <w:b/>
              </w:rPr>
              <w:t xml:space="preserve"> </w:t>
            </w:r>
          </w:p>
        </w:tc>
        <w:tc>
          <w:tcPr>
            <w:tcW w:w="288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Basic database functionality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 xml:space="preserve">Simplified </w:t>
            </w:r>
            <w:r w:rsidR="00F74EB9">
              <w:rPr>
                <w:rFonts w:ascii="Calibri" w:hAnsi="Calibri"/>
              </w:rPr>
              <w:t>m</w:t>
            </w:r>
            <w:r w:rsidRPr="005A5BCC">
              <w:rPr>
                <w:rFonts w:ascii="Calibri" w:hAnsi="Calibri"/>
              </w:rPr>
              <w:t xml:space="preserve">anagement </w:t>
            </w:r>
            <w:r w:rsidR="00F74EB9">
              <w:rPr>
                <w:rFonts w:ascii="Calibri" w:hAnsi="Calibri"/>
              </w:rPr>
              <w:t>t</w:t>
            </w:r>
            <w:r w:rsidRPr="005A5BCC">
              <w:rPr>
                <w:rFonts w:ascii="Calibri" w:hAnsi="Calibri"/>
              </w:rPr>
              <w:t>ools</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Basic security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 xml:space="preserve">Up to </w:t>
            </w:r>
            <w:r w:rsidR="00F74EB9">
              <w:rPr>
                <w:rFonts w:ascii="Calibri" w:hAnsi="Calibri"/>
              </w:rPr>
              <w:t>two</w:t>
            </w:r>
            <w:r w:rsidRPr="005A5BCC">
              <w:rPr>
                <w:rFonts w:ascii="Calibri" w:hAnsi="Calibri"/>
              </w:rPr>
              <w:t xml:space="preserve"> CPUs, memory limits</w:t>
            </w:r>
          </w:p>
        </w:tc>
        <w:tc>
          <w:tcPr>
            <w:tcW w:w="270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Microsoft SQL</w:t>
            </w:r>
            <w:r w:rsidR="00F74EB9">
              <w:rPr>
                <w:rFonts w:ascii="Calibri" w:hAnsi="Calibri"/>
              </w:rPr>
              <w:t> </w:t>
            </w:r>
            <w:r w:rsidRPr="005A5BCC">
              <w:rPr>
                <w:rFonts w:ascii="Calibri" w:hAnsi="Calibri"/>
              </w:rPr>
              <w:t>Server Workgroup Edition</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Oracle Standard Edition One</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DB2 Express Edition</w:t>
            </w:r>
            <w:r w:rsidRPr="005A5BCC" w:rsidDel="000E298D">
              <w:rPr>
                <w:rFonts w:ascii="Calibri" w:hAnsi="Calibri"/>
              </w:rPr>
              <w:t xml:space="preserve"> </w:t>
            </w:r>
          </w:p>
        </w:tc>
        <w:tc>
          <w:tcPr>
            <w:tcW w:w="1710" w:type="dxa"/>
          </w:tcPr>
          <w:p w:rsidR="00790687" w:rsidRPr="005A5BCC" w:rsidRDefault="00790687" w:rsidP="00C5542A">
            <w:pPr>
              <w:pStyle w:val="TableText"/>
              <w:rPr>
                <w:rFonts w:ascii="Calibri" w:hAnsi="Calibri"/>
              </w:rPr>
            </w:pPr>
            <w:r w:rsidRPr="005A5BCC">
              <w:rPr>
                <w:rFonts w:ascii="Calibri" w:hAnsi="Calibri"/>
              </w:rPr>
              <w:t>$500–$5,000</w:t>
            </w:r>
            <w:r w:rsidR="00B412C1">
              <w:rPr>
                <w:rFonts w:ascii="Calibri" w:hAnsi="Calibri"/>
              </w:rPr>
              <w:br/>
            </w:r>
            <w:r w:rsidRPr="005A5BCC">
              <w:rPr>
                <w:rFonts w:ascii="Calibri" w:hAnsi="Calibri"/>
              </w:rPr>
              <w:t>per CPU</w:t>
            </w:r>
            <w:r w:rsidRPr="005A5BCC" w:rsidDel="00640D6D">
              <w:rPr>
                <w:rFonts w:ascii="Calibri" w:hAnsi="Calibri"/>
              </w:rPr>
              <w:t xml:space="preserve"> </w:t>
            </w:r>
          </w:p>
        </w:tc>
      </w:tr>
      <w:tr w:rsidR="00790687" w:rsidRPr="00C95874" w:rsidTr="00C5542A">
        <w:tc>
          <w:tcPr>
            <w:tcW w:w="1188" w:type="dxa"/>
          </w:tcPr>
          <w:p w:rsidR="00790687" w:rsidRPr="0032781C" w:rsidRDefault="00790687" w:rsidP="00C5542A">
            <w:pPr>
              <w:pStyle w:val="TableText"/>
              <w:rPr>
                <w:rFonts w:ascii="Calibri" w:hAnsi="Calibri"/>
                <w:b/>
              </w:rPr>
            </w:pPr>
            <w:r w:rsidRPr="0032781C">
              <w:rPr>
                <w:rFonts w:ascii="Calibri" w:hAnsi="Calibri"/>
                <w:b/>
              </w:rPr>
              <w:t>Standard</w:t>
            </w:r>
          </w:p>
        </w:tc>
        <w:tc>
          <w:tcPr>
            <w:tcW w:w="288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Availability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Full database functionality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Basic management tools</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 xml:space="preserve">Up to </w:t>
            </w:r>
            <w:r w:rsidR="00F74EB9">
              <w:rPr>
                <w:rFonts w:ascii="Calibri" w:hAnsi="Calibri"/>
              </w:rPr>
              <w:t>four</w:t>
            </w:r>
            <w:r w:rsidRPr="005A5BCC">
              <w:rPr>
                <w:rFonts w:ascii="Calibri" w:hAnsi="Calibri"/>
              </w:rPr>
              <w:t xml:space="preserve"> CPUs or nodes</w:t>
            </w:r>
          </w:p>
        </w:tc>
        <w:tc>
          <w:tcPr>
            <w:tcW w:w="270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Microsoft SQL Server Standard Edition</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Oracle Standard Edition</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DB2 Workgroup Edition</w:t>
            </w:r>
          </w:p>
        </w:tc>
        <w:tc>
          <w:tcPr>
            <w:tcW w:w="1710" w:type="dxa"/>
          </w:tcPr>
          <w:p w:rsidR="00790687" w:rsidRPr="005A5BCC" w:rsidRDefault="00790687" w:rsidP="00C5542A">
            <w:pPr>
              <w:pStyle w:val="TableText"/>
              <w:rPr>
                <w:rFonts w:ascii="Calibri" w:hAnsi="Calibri"/>
              </w:rPr>
            </w:pPr>
            <w:r w:rsidRPr="005A5BCC">
              <w:rPr>
                <w:rFonts w:ascii="Calibri" w:hAnsi="Calibri"/>
              </w:rPr>
              <w:t>$5,000–$15,000</w:t>
            </w:r>
            <w:r w:rsidR="00B412C1">
              <w:rPr>
                <w:rFonts w:ascii="Calibri" w:hAnsi="Calibri"/>
              </w:rPr>
              <w:br/>
            </w:r>
            <w:r w:rsidRPr="005A5BCC">
              <w:rPr>
                <w:rFonts w:ascii="Calibri" w:hAnsi="Calibri"/>
              </w:rPr>
              <w:t>per CPU</w:t>
            </w:r>
          </w:p>
        </w:tc>
      </w:tr>
      <w:tr w:rsidR="00790687" w:rsidRPr="00C95874" w:rsidTr="00C5542A">
        <w:tc>
          <w:tcPr>
            <w:tcW w:w="1188" w:type="dxa"/>
          </w:tcPr>
          <w:p w:rsidR="00790687" w:rsidRPr="0032781C" w:rsidRDefault="00790687" w:rsidP="00C5542A">
            <w:pPr>
              <w:pStyle w:val="TableText"/>
              <w:rPr>
                <w:rFonts w:ascii="Calibri" w:hAnsi="Calibri"/>
                <w:b/>
              </w:rPr>
            </w:pPr>
            <w:r w:rsidRPr="0032781C">
              <w:rPr>
                <w:rFonts w:ascii="Calibri" w:hAnsi="Calibri"/>
                <w:b/>
              </w:rPr>
              <w:t>Enterprise</w:t>
            </w:r>
          </w:p>
        </w:tc>
        <w:tc>
          <w:tcPr>
            <w:tcW w:w="288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High availability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Scalability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High-end management tools</w:t>
            </w:r>
          </w:p>
          <w:p w:rsidR="00790687" w:rsidRPr="005A5BCC" w:rsidRDefault="00790687" w:rsidP="00C5542A">
            <w:pPr>
              <w:pStyle w:val="TableText"/>
              <w:numPr>
                <w:ilvl w:val="0"/>
                <w:numId w:val="27"/>
              </w:numPr>
              <w:ind w:left="252" w:hanging="270"/>
              <w:rPr>
                <w:rFonts w:ascii="Calibri" w:hAnsi="Calibri"/>
              </w:rPr>
            </w:pPr>
            <w:smartTag w:uri="urn:schemas-microsoft-com:office:smarttags" w:element="place">
              <w:smartTag w:uri="urn:schemas-microsoft-com:office:smarttags" w:element="City">
                <w:r w:rsidRPr="005A5BCC">
                  <w:rPr>
                    <w:rFonts w:ascii="Calibri" w:hAnsi="Calibri"/>
                  </w:rPr>
                  <w:t>Enterprise</w:t>
                </w:r>
              </w:smartTag>
            </w:smartTag>
            <w:r w:rsidRPr="005A5BCC">
              <w:rPr>
                <w:rFonts w:ascii="Calibri" w:hAnsi="Calibri"/>
              </w:rPr>
              <w:t xml:space="preserve"> security</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No CPU limit</w:t>
            </w:r>
          </w:p>
        </w:tc>
        <w:tc>
          <w:tcPr>
            <w:tcW w:w="2700" w:type="dxa"/>
          </w:tcPr>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 xml:space="preserve">Microsoft SQL Server </w:t>
            </w:r>
            <w:smartTag w:uri="urn:schemas-microsoft-com:office:smarttags" w:element="place">
              <w:smartTag w:uri="urn:schemas-microsoft-com:office:smarttags" w:element="City">
                <w:r w:rsidRPr="005A5BCC">
                  <w:rPr>
                    <w:rFonts w:ascii="Calibri" w:hAnsi="Calibri"/>
                  </w:rPr>
                  <w:t>Enterprise</w:t>
                </w:r>
              </w:smartTag>
            </w:smartTag>
            <w:r w:rsidRPr="005A5BCC">
              <w:rPr>
                <w:rFonts w:ascii="Calibri" w:hAnsi="Calibri"/>
              </w:rPr>
              <w:t xml:space="preserve"> Edition</w:t>
            </w:r>
          </w:p>
          <w:p w:rsidR="00790687" w:rsidRPr="005A5BCC" w:rsidRDefault="00790687" w:rsidP="00C5542A">
            <w:pPr>
              <w:pStyle w:val="TableText"/>
              <w:numPr>
                <w:ilvl w:val="0"/>
                <w:numId w:val="27"/>
              </w:numPr>
              <w:ind w:left="252" w:hanging="270"/>
              <w:rPr>
                <w:rFonts w:ascii="Calibri" w:hAnsi="Calibri"/>
              </w:rPr>
            </w:pPr>
            <w:r w:rsidRPr="005A5BCC">
              <w:rPr>
                <w:rFonts w:ascii="Calibri" w:hAnsi="Calibri"/>
              </w:rPr>
              <w:t xml:space="preserve">Oracle </w:t>
            </w:r>
            <w:smartTag w:uri="urn:schemas-microsoft-com:office:smarttags" w:element="place">
              <w:smartTag w:uri="urn:schemas-microsoft-com:office:smarttags" w:element="City">
                <w:r w:rsidRPr="005A5BCC">
                  <w:rPr>
                    <w:rFonts w:ascii="Calibri" w:hAnsi="Calibri"/>
                  </w:rPr>
                  <w:t>Enterprise</w:t>
                </w:r>
              </w:smartTag>
            </w:smartTag>
            <w:r w:rsidRPr="005A5BCC">
              <w:rPr>
                <w:rFonts w:ascii="Calibri" w:hAnsi="Calibri"/>
              </w:rPr>
              <w:t xml:space="preserve"> Edition</w:t>
            </w:r>
          </w:p>
          <w:p w:rsidR="00790687" w:rsidRPr="005A5BCC" w:rsidDel="00640D6D" w:rsidRDefault="00790687" w:rsidP="00C5542A">
            <w:pPr>
              <w:pStyle w:val="TableText"/>
              <w:numPr>
                <w:ilvl w:val="0"/>
                <w:numId w:val="27"/>
              </w:numPr>
              <w:ind w:left="252" w:hanging="270"/>
              <w:rPr>
                <w:rFonts w:ascii="Calibri" w:hAnsi="Calibri"/>
              </w:rPr>
            </w:pPr>
            <w:r w:rsidRPr="005A5BCC">
              <w:rPr>
                <w:rFonts w:ascii="Calibri" w:hAnsi="Calibri"/>
              </w:rPr>
              <w:t>DB2 Enterprise Edition</w:t>
            </w:r>
          </w:p>
        </w:tc>
        <w:tc>
          <w:tcPr>
            <w:tcW w:w="1710" w:type="dxa"/>
          </w:tcPr>
          <w:p w:rsidR="00790687" w:rsidRPr="005A5BCC" w:rsidDel="00640D6D" w:rsidRDefault="00790687" w:rsidP="00C5542A">
            <w:pPr>
              <w:pStyle w:val="TableText"/>
              <w:rPr>
                <w:rFonts w:ascii="Calibri" w:hAnsi="Calibri"/>
              </w:rPr>
            </w:pPr>
            <w:r w:rsidRPr="005A5BCC">
              <w:rPr>
                <w:rFonts w:ascii="Calibri" w:hAnsi="Calibri"/>
              </w:rPr>
              <w:t>$25,000–$40,000</w:t>
            </w:r>
            <w:r w:rsidR="00B412C1">
              <w:rPr>
                <w:rFonts w:ascii="Calibri" w:hAnsi="Calibri"/>
              </w:rPr>
              <w:br/>
            </w:r>
            <w:r w:rsidRPr="005A5BCC">
              <w:rPr>
                <w:rFonts w:ascii="Calibri" w:hAnsi="Calibri"/>
              </w:rPr>
              <w:t>per CPU</w:t>
            </w:r>
          </w:p>
        </w:tc>
      </w:tr>
    </w:tbl>
    <w:p w:rsidR="00790687" w:rsidRPr="00790687" w:rsidRDefault="00790687" w:rsidP="00D65FDC">
      <w:pPr>
        <w:pStyle w:val="AlertText"/>
      </w:pPr>
      <w:r w:rsidRPr="00790687">
        <w:rPr>
          <w:b/>
          <w:bCs/>
        </w:rPr>
        <w:t>Note</w:t>
      </w:r>
      <w:r w:rsidR="00946DC9">
        <w:rPr>
          <w:b/>
          <w:bCs/>
        </w:rPr>
        <w:t>   </w:t>
      </w:r>
      <w:r w:rsidRPr="00790687">
        <w:t>All prices are per processor and reflect pricing for purchases within the United States and are in United States dollars. Pricing based on information available on vendor Web sites</w:t>
      </w:r>
      <w:r w:rsidR="00946DC9">
        <w:t xml:space="preserve"> is</w:t>
      </w:r>
      <w:r w:rsidRPr="00790687">
        <w:t xml:space="preserve"> listed in the</w:t>
      </w:r>
      <w:r w:rsidRPr="00E02EE9">
        <w:t xml:space="preserve"> </w:t>
      </w:r>
      <w:hyperlink w:anchor="_Reference" w:history="1">
        <w:r w:rsidRPr="00E02EE9">
          <w:rPr>
            <w:rStyle w:val="Hyperlink"/>
          </w:rPr>
          <w:t>Reference</w:t>
        </w:r>
      </w:hyperlink>
      <w:r w:rsidRPr="00790687">
        <w:t xml:space="preserve"> section.</w:t>
      </w:r>
    </w:p>
    <w:p w:rsidR="003C7459" w:rsidRDefault="00790687" w:rsidP="0032463F">
      <w:pPr>
        <w:pStyle w:val="Heading4"/>
      </w:pPr>
      <w:bookmarkStart w:id="7" w:name="_Toc178405160"/>
      <w:r>
        <w:t>Options</w:t>
      </w:r>
      <w:bookmarkEnd w:id="7"/>
    </w:p>
    <w:p w:rsidR="00790687" w:rsidRPr="00790687" w:rsidRDefault="00790687" w:rsidP="00790687">
      <w:pPr>
        <w:pStyle w:val="Text"/>
      </w:pPr>
      <w:r w:rsidRPr="00790687">
        <w:t xml:space="preserve">Some vendors include the full functionality in the base product. For example, Microsoft customers do not have to buy any add-ons for additional functionality. However, some other vendors such as </w:t>
      </w:r>
      <w:smartTag w:uri="urn:schemas-microsoft-com:office:smarttags" w:element="stockticker">
        <w:r w:rsidRPr="00790687">
          <w:t>IBM</w:t>
        </w:r>
      </w:smartTag>
      <w:r w:rsidRPr="00790687">
        <w:t xml:space="preserve"> and Oracle include limited functionality in their base products and offer additional functionality through options or add-ons. These options can be very expensive and </w:t>
      </w:r>
      <w:r w:rsidR="00946DC9">
        <w:t>may</w:t>
      </w:r>
      <w:r w:rsidR="00946DC9" w:rsidRPr="00790687">
        <w:t xml:space="preserve"> </w:t>
      </w:r>
      <w:r w:rsidRPr="00790687">
        <w:t xml:space="preserve">end up costing more than the base product itself. </w:t>
      </w:r>
      <w:r w:rsidR="00946DC9">
        <w:t>W</w:t>
      </w:r>
      <w:r w:rsidRPr="00790687">
        <w:t>hen evaluating different databases, customers should be aware of what functionality is included in the base product and what can be obtained only through options.</w:t>
      </w:r>
    </w:p>
    <w:p w:rsidR="00790687" w:rsidRPr="00790687" w:rsidRDefault="00790687" w:rsidP="00790687">
      <w:pPr>
        <w:pStyle w:val="Text"/>
      </w:pPr>
      <w:r w:rsidRPr="00790687">
        <w:t xml:space="preserve">For </w:t>
      </w:r>
      <w:smartTag w:uri="urn:schemas-microsoft-com:office:smarttags" w:element="stockticker">
        <w:r w:rsidRPr="00790687">
          <w:t>IBM</w:t>
        </w:r>
      </w:smartTag>
      <w:r w:rsidRPr="00790687">
        <w:t xml:space="preserve"> and Oracle, add-ons are very frequently required for anything but the most basic applications. Examples of add-ons offered by these vendors include: security, online analytical processing (OLAP), database tuning and management, advanced security, partitioning, and data mining. To complicate matters, most of the management, security, and business intelligence options that </w:t>
      </w:r>
      <w:smartTag w:uri="urn:schemas-microsoft-com:office:smarttags" w:element="stockticker">
        <w:r w:rsidRPr="00790687">
          <w:t>IBM</w:t>
        </w:r>
      </w:smartTag>
      <w:r w:rsidRPr="00790687">
        <w:t xml:space="preserve"> and Oracle offer are only available with the </w:t>
      </w:r>
      <w:smartTag w:uri="urn:schemas-microsoft-com:office:smarttags" w:element="City">
        <w:smartTag w:uri="urn:schemas-microsoft-com:office:smarttags" w:element="place">
          <w:r w:rsidRPr="00790687">
            <w:t>Enterprise</w:t>
          </w:r>
        </w:smartTag>
      </w:smartTag>
      <w:r w:rsidRPr="00790687">
        <w:t xml:space="preserve"> edition of their databases. This means that, in many cases, customers may have to upgrade from Standard </w:t>
      </w:r>
      <w:r w:rsidR="00946DC9">
        <w:t xml:space="preserve">Edition </w:t>
      </w:r>
      <w:r w:rsidRPr="00790687">
        <w:t xml:space="preserve">to </w:t>
      </w:r>
      <w:smartTag w:uri="urn:schemas-microsoft-com:office:smarttags" w:element="place">
        <w:smartTag w:uri="urn:schemas-microsoft-com:office:smarttags" w:element="City">
          <w:r w:rsidRPr="00790687">
            <w:t>Enterprise</w:t>
          </w:r>
        </w:smartTag>
      </w:smartTag>
      <w:r w:rsidRPr="00790687">
        <w:t xml:space="preserve"> </w:t>
      </w:r>
      <w:r w:rsidR="00BA427A">
        <w:t xml:space="preserve">Edition </w:t>
      </w:r>
      <w:r w:rsidRPr="00790687">
        <w:t>at a significant cost when all they need</w:t>
      </w:r>
      <w:r w:rsidR="00BA427A">
        <w:t xml:space="preserve"> is</w:t>
      </w:r>
      <w:r w:rsidRPr="00790687">
        <w:t xml:space="preserve"> a specific option, such as OLAP for a business intelligence application.</w:t>
      </w:r>
    </w:p>
    <w:p w:rsidR="00790687" w:rsidRPr="00790687" w:rsidRDefault="00790687" w:rsidP="00790687">
      <w:pPr>
        <w:pStyle w:val="Text"/>
      </w:pPr>
      <w:r w:rsidRPr="00790687">
        <w:t xml:space="preserve">In contrast, Microsoft </w:t>
      </w:r>
      <w:r w:rsidR="00495C08" w:rsidRPr="00790687">
        <w:t>provid</w:t>
      </w:r>
      <w:r w:rsidR="00495C08">
        <w:t>es</w:t>
      </w:r>
      <w:r w:rsidR="00495C08" w:rsidRPr="00790687">
        <w:t xml:space="preserve"> </w:t>
      </w:r>
      <w:r w:rsidRPr="00790687">
        <w:t>full data management and analysis functionality in its Standard and Enterprise SQL Server database editions</w:t>
      </w:r>
      <w:r w:rsidR="00495C08">
        <w:t>;</w:t>
      </w:r>
      <w:r w:rsidRPr="00790687">
        <w:t xml:space="preserve"> customers know they </w:t>
      </w:r>
      <w:r w:rsidR="00E02EE9">
        <w:t>will not</w:t>
      </w:r>
      <w:r w:rsidRPr="00790687">
        <w:t xml:space="preserve"> incur large incremental costs to run their data management systems.</w:t>
      </w:r>
    </w:p>
    <w:p w:rsidR="00790687" w:rsidRDefault="00790687" w:rsidP="00790687">
      <w:pPr>
        <w:pStyle w:val="Text"/>
      </w:pPr>
      <w:r w:rsidRPr="00790687">
        <w:t>The following graph and table highlight the impact that options have on the total license cost for a database. It’s easy to see how options can dramatically change the total cost of a database solution.</w:t>
      </w:r>
    </w:p>
    <w:p w:rsidR="002B1521" w:rsidRDefault="002B1521" w:rsidP="00790687">
      <w:pPr>
        <w:pStyle w:val="Text"/>
      </w:pPr>
    </w:p>
    <w:p w:rsidR="002B1521" w:rsidRDefault="002B1521" w:rsidP="00790687">
      <w:pPr>
        <w:pStyle w:val="Text"/>
      </w:pPr>
    </w:p>
    <w:p w:rsidR="00790687" w:rsidRDefault="002B1521" w:rsidP="00422132">
      <w:pPr>
        <w:pStyle w:val="Figure"/>
      </w:pPr>
      <w:r>
        <w:rPr>
          <w:noProof/>
        </w:rPr>
        <w:drawing>
          <wp:inline distT="0" distB="0" distL="0" distR="0">
            <wp:extent cx="5702121" cy="2162175"/>
            <wp:effectExtent l="1905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702121" cy="2162175"/>
                    </a:xfrm>
                    <a:prstGeom prst="rect">
                      <a:avLst/>
                    </a:prstGeom>
                    <a:noFill/>
                  </pic:spPr>
                </pic:pic>
              </a:graphicData>
            </a:graphic>
          </wp:inline>
        </w:drawing>
      </w:r>
    </w:p>
    <w:p w:rsidR="00790687" w:rsidRPr="00E02EE9" w:rsidRDefault="00790687" w:rsidP="00D65FDC">
      <w:pPr>
        <w:pStyle w:val="AlertText"/>
        <w:rPr>
          <w:sz w:val="18"/>
          <w:szCs w:val="18"/>
        </w:rPr>
      </w:pPr>
      <w:r w:rsidRPr="00E02EE9">
        <w:rPr>
          <w:b/>
          <w:bCs/>
          <w:sz w:val="18"/>
          <w:szCs w:val="18"/>
        </w:rPr>
        <w:t>Note</w:t>
      </w:r>
      <w:r w:rsidR="00495C08" w:rsidRPr="00E02EE9">
        <w:rPr>
          <w:b/>
          <w:bCs/>
          <w:sz w:val="18"/>
          <w:szCs w:val="18"/>
        </w:rPr>
        <w:t>   </w:t>
      </w:r>
      <w:r w:rsidRPr="00E02EE9">
        <w:rPr>
          <w:sz w:val="18"/>
          <w:szCs w:val="18"/>
        </w:rPr>
        <w:t xml:space="preserve">All prices are per processor and reflect pricing for purchases within the United States and are in United States dollars. Pricing </w:t>
      </w:r>
      <w:r w:rsidR="00495C08" w:rsidRPr="00E02EE9">
        <w:rPr>
          <w:sz w:val="18"/>
          <w:szCs w:val="18"/>
        </w:rPr>
        <w:t xml:space="preserve">is </w:t>
      </w:r>
      <w:r w:rsidRPr="00E02EE9">
        <w:rPr>
          <w:sz w:val="18"/>
          <w:szCs w:val="18"/>
        </w:rPr>
        <w:t>based on information available on vendor Web sites</w:t>
      </w:r>
      <w:r w:rsidR="004F3560" w:rsidRPr="00E02EE9">
        <w:rPr>
          <w:sz w:val="18"/>
          <w:szCs w:val="18"/>
        </w:rPr>
        <w:t xml:space="preserve">. </w:t>
      </w:r>
      <w:r w:rsidR="00495C08" w:rsidRPr="00E02EE9">
        <w:rPr>
          <w:sz w:val="18"/>
          <w:szCs w:val="18"/>
        </w:rPr>
        <w:t xml:space="preserve">The </w:t>
      </w:r>
      <w:r w:rsidR="00FE615D" w:rsidRPr="00E02EE9">
        <w:rPr>
          <w:sz w:val="18"/>
          <w:szCs w:val="18"/>
        </w:rPr>
        <w:t>Microsoft SQL Server 2005 base product includes all the functionalities in the other products’ add-ons.</w:t>
      </w:r>
    </w:p>
    <w:tbl>
      <w:tblPr>
        <w:tblpPr w:leftFromText="180" w:rightFromText="180" w:vertAnchor="text" w:horzAnchor="margin" w:tblpXSpec="center" w:tblpY="92"/>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50"/>
        <w:gridCol w:w="2610"/>
        <w:gridCol w:w="2340"/>
      </w:tblGrid>
      <w:tr w:rsidR="00790687" w:rsidRPr="000C2634" w:rsidTr="00495C08">
        <w:trPr>
          <w:tblHeader/>
        </w:trPr>
        <w:tc>
          <w:tcPr>
            <w:tcW w:w="1908" w:type="dxa"/>
            <w:shd w:val="pct20" w:color="auto" w:fill="auto"/>
          </w:tcPr>
          <w:p w:rsidR="00790687" w:rsidRPr="000C2634" w:rsidRDefault="00790687" w:rsidP="008726DD">
            <w:pPr>
              <w:pStyle w:val="TableHeading"/>
              <w:rPr>
                <w:rFonts w:ascii="Calibri" w:hAnsi="Calibri"/>
                <w:sz w:val="18"/>
                <w:szCs w:val="18"/>
              </w:rPr>
            </w:pPr>
            <w:bookmarkStart w:id="8" w:name="_Toc90702026"/>
          </w:p>
        </w:tc>
        <w:tc>
          <w:tcPr>
            <w:tcW w:w="1350" w:type="dxa"/>
            <w:shd w:val="pct20" w:color="auto" w:fill="auto"/>
          </w:tcPr>
          <w:p w:rsidR="00790687" w:rsidRPr="000C2634" w:rsidRDefault="00790687" w:rsidP="008726DD">
            <w:pPr>
              <w:pStyle w:val="TableHeading"/>
              <w:jc w:val="center"/>
              <w:rPr>
                <w:rFonts w:ascii="Calibri" w:hAnsi="Calibri"/>
                <w:sz w:val="18"/>
                <w:szCs w:val="18"/>
              </w:rPr>
            </w:pPr>
            <w:r w:rsidRPr="000C2634">
              <w:rPr>
                <w:rFonts w:ascii="Calibri" w:hAnsi="Calibri"/>
                <w:sz w:val="18"/>
                <w:szCs w:val="18"/>
              </w:rPr>
              <w:t xml:space="preserve">Microsoft </w:t>
            </w:r>
          </w:p>
        </w:tc>
        <w:tc>
          <w:tcPr>
            <w:tcW w:w="2610" w:type="dxa"/>
            <w:shd w:val="pct20" w:color="auto" w:fill="auto"/>
          </w:tcPr>
          <w:p w:rsidR="00790687" w:rsidRPr="000C2634" w:rsidRDefault="00790687" w:rsidP="008726DD">
            <w:pPr>
              <w:pStyle w:val="TableHeading"/>
              <w:jc w:val="center"/>
              <w:rPr>
                <w:rFonts w:ascii="Calibri" w:hAnsi="Calibri"/>
                <w:sz w:val="18"/>
                <w:szCs w:val="18"/>
              </w:rPr>
            </w:pPr>
            <w:r w:rsidRPr="000C2634">
              <w:rPr>
                <w:rFonts w:ascii="Calibri" w:hAnsi="Calibri"/>
                <w:sz w:val="18"/>
                <w:szCs w:val="18"/>
              </w:rPr>
              <w:t>Oracle</w:t>
            </w:r>
          </w:p>
        </w:tc>
        <w:tc>
          <w:tcPr>
            <w:tcW w:w="2340" w:type="dxa"/>
            <w:shd w:val="pct20" w:color="auto" w:fill="auto"/>
          </w:tcPr>
          <w:p w:rsidR="00790687" w:rsidRPr="000C2634" w:rsidRDefault="00790687" w:rsidP="008726DD">
            <w:pPr>
              <w:pStyle w:val="TableHeading"/>
              <w:jc w:val="center"/>
              <w:rPr>
                <w:rFonts w:ascii="Calibri" w:hAnsi="Calibri"/>
                <w:sz w:val="18"/>
                <w:szCs w:val="18"/>
              </w:rPr>
            </w:pPr>
            <w:r w:rsidRPr="000C2634">
              <w:rPr>
                <w:rFonts w:ascii="Calibri" w:hAnsi="Calibri"/>
                <w:sz w:val="18"/>
                <w:szCs w:val="18"/>
              </w:rPr>
              <w:t>IBM</w:t>
            </w:r>
          </w:p>
        </w:tc>
      </w:tr>
      <w:tr w:rsidR="00790687" w:rsidRPr="000C2634" w:rsidTr="00495C08">
        <w:trPr>
          <w:cantSplit/>
          <w:trHeight w:val="317"/>
        </w:trPr>
        <w:tc>
          <w:tcPr>
            <w:tcW w:w="1908" w:type="dxa"/>
          </w:tcPr>
          <w:p w:rsidR="00790687" w:rsidRPr="000C2634" w:rsidRDefault="00790687" w:rsidP="008726DD">
            <w:pPr>
              <w:pStyle w:val="TableText"/>
              <w:rPr>
                <w:rFonts w:ascii="Calibri" w:hAnsi="Calibri"/>
                <w:b/>
                <w:szCs w:val="18"/>
              </w:rPr>
            </w:pPr>
            <w:r w:rsidRPr="000C2634">
              <w:rPr>
                <w:rFonts w:ascii="Calibri" w:hAnsi="Calibri"/>
                <w:b/>
                <w:szCs w:val="18"/>
              </w:rPr>
              <w:t>Enterprise Edition</w:t>
            </w:r>
            <w:r w:rsidR="002B1521">
              <w:rPr>
                <w:rFonts w:ascii="Calibri" w:hAnsi="Calibri"/>
                <w:b/>
                <w:szCs w:val="18"/>
              </w:rPr>
              <w:t xml:space="preserve"> Base License</w:t>
            </w:r>
          </w:p>
        </w:tc>
        <w:tc>
          <w:tcPr>
            <w:tcW w:w="1350" w:type="dxa"/>
          </w:tcPr>
          <w:p w:rsidR="00790687" w:rsidRPr="000C2634" w:rsidRDefault="00790687" w:rsidP="008726DD">
            <w:pPr>
              <w:pStyle w:val="TableText"/>
              <w:rPr>
                <w:rFonts w:ascii="Calibri" w:hAnsi="Calibri"/>
                <w:szCs w:val="18"/>
              </w:rPr>
            </w:pPr>
            <w:r w:rsidRPr="000C2634">
              <w:rPr>
                <w:rFonts w:ascii="Calibri" w:hAnsi="Calibri"/>
                <w:szCs w:val="18"/>
              </w:rPr>
              <w:t>$24,999</w:t>
            </w:r>
          </w:p>
        </w:tc>
        <w:tc>
          <w:tcPr>
            <w:tcW w:w="2610" w:type="dxa"/>
          </w:tcPr>
          <w:p w:rsidR="00790687" w:rsidRPr="000C2634" w:rsidRDefault="00790687" w:rsidP="008726DD">
            <w:pPr>
              <w:pStyle w:val="TableText"/>
              <w:rPr>
                <w:rFonts w:ascii="Calibri" w:hAnsi="Calibri"/>
                <w:szCs w:val="18"/>
              </w:rPr>
            </w:pPr>
            <w:r w:rsidRPr="000C2634">
              <w:rPr>
                <w:rFonts w:ascii="Calibri" w:hAnsi="Calibri"/>
                <w:szCs w:val="18"/>
              </w:rPr>
              <w:t>$40,000</w:t>
            </w:r>
          </w:p>
        </w:tc>
        <w:tc>
          <w:tcPr>
            <w:tcW w:w="2340" w:type="dxa"/>
          </w:tcPr>
          <w:p w:rsidR="00790687" w:rsidRPr="000C2634" w:rsidRDefault="00790687" w:rsidP="008726DD">
            <w:pPr>
              <w:pStyle w:val="TableText"/>
              <w:rPr>
                <w:rFonts w:ascii="Calibri" w:hAnsi="Calibri"/>
                <w:szCs w:val="18"/>
              </w:rPr>
            </w:pPr>
            <w:r w:rsidRPr="000C2634">
              <w:rPr>
                <w:rFonts w:ascii="Calibri" w:hAnsi="Calibri"/>
                <w:szCs w:val="18"/>
              </w:rPr>
              <w:t>$36,400</w:t>
            </w:r>
          </w:p>
        </w:tc>
      </w:tr>
      <w:tr w:rsidR="00790687" w:rsidRPr="000C2634" w:rsidTr="00495C08">
        <w:trPr>
          <w:cantSplit/>
        </w:trPr>
        <w:tc>
          <w:tcPr>
            <w:tcW w:w="1908" w:type="dxa"/>
          </w:tcPr>
          <w:p w:rsidR="00790687" w:rsidRPr="000C2634" w:rsidRDefault="00790687" w:rsidP="008726DD">
            <w:pPr>
              <w:pStyle w:val="TableText"/>
              <w:rPr>
                <w:rFonts w:ascii="Calibri" w:hAnsi="Calibri"/>
                <w:b/>
                <w:szCs w:val="18"/>
              </w:rPr>
            </w:pPr>
            <w:r w:rsidRPr="000C2634">
              <w:rPr>
                <w:rFonts w:ascii="Calibri" w:hAnsi="Calibri"/>
                <w:b/>
                <w:szCs w:val="18"/>
              </w:rPr>
              <w:t>Management Tools Add-on</w:t>
            </w:r>
          </w:p>
        </w:tc>
        <w:tc>
          <w:tcPr>
            <w:tcW w:w="1350" w:type="dxa"/>
          </w:tcPr>
          <w:p w:rsidR="00790687" w:rsidRPr="000C2634" w:rsidRDefault="00790687" w:rsidP="008726DD">
            <w:pPr>
              <w:pStyle w:val="TableText"/>
              <w:rPr>
                <w:rFonts w:ascii="Calibri" w:hAnsi="Calibri"/>
                <w:szCs w:val="18"/>
              </w:rPr>
            </w:pPr>
            <w:r w:rsidRPr="000C2634">
              <w:rPr>
                <w:rFonts w:ascii="Calibri" w:hAnsi="Calibri"/>
                <w:szCs w:val="18"/>
              </w:rPr>
              <w:t>Included</w:t>
            </w:r>
          </w:p>
        </w:tc>
        <w:tc>
          <w:tcPr>
            <w:tcW w:w="2610" w:type="dxa"/>
          </w:tcPr>
          <w:p w:rsidR="00790687" w:rsidRPr="000C2634" w:rsidRDefault="00790687" w:rsidP="008726DD">
            <w:pPr>
              <w:pStyle w:val="TableText"/>
              <w:rPr>
                <w:rFonts w:ascii="Calibri" w:hAnsi="Calibri"/>
                <w:szCs w:val="18"/>
              </w:rPr>
            </w:pPr>
            <w:r w:rsidRPr="000C2634">
              <w:rPr>
                <w:rFonts w:ascii="Calibri" w:hAnsi="Calibri"/>
                <w:szCs w:val="18"/>
              </w:rPr>
              <w:t>$3,000 (Diagnostics Pack)</w:t>
            </w:r>
          </w:p>
          <w:p w:rsidR="00790687" w:rsidRPr="000C2634" w:rsidRDefault="00790687" w:rsidP="008726DD">
            <w:pPr>
              <w:pStyle w:val="TableText"/>
              <w:rPr>
                <w:rFonts w:ascii="Calibri" w:hAnsi="Calibri"/>
                <w:szCs w:val="18"/>
              </w:rPr>
            </w:pPr>
            <w:r w:rsidRPr="000C2634">
              <w:rPr>
                <w:rFonts w:ascii="Calibri" w:hAnsi="Calibri"/>
                <w:szCs w:val="18"/>
              </w:rPr>
              <w:t>$3,000 (Tuning Pack)</w:t>
            </w:r>
          </w:p>
          <w:p w:rsidR="00790687" w:rsidRPr="000C2634" w:rsidRDefault="00790687" w:rsidP="008726DD">
            <w:pPr>
              <w:pStyle w:val="TableText"/>
              <w:rPr>
                <w:rFonts w:ascii="Calibri" w:hAnsi="Calibri"/>
                <w:szCs w:val="18"/>
              </w:rPr>
            </w:pPr>
            <w:r w:rsidRPr="000C2634">
              <w:rPr>
                <w:rFonts w:ascii="Calibri" w:hAnsi="Calibri"/>
                <w:szCs w:val="18"/>
              </w:rPr>
              <w:t>$3,000 (Configuration Mgmt Pack)</w:t>
            </w:r>
          </w:p>
          <w:p w:rsidR="00790687" w:rsidRPr="000C2634" w:rsidRDefault="00790687" w:rsidP="008726DD">
            <w:pPr>
              <w:pStyle w:val="TableText"/>
              <w:rPr>
                <w:rFonts w:ascii="Calibri" w:hAnsi="Calibri"/>
                <w:szCs w:val="18"/>
              </w:rPr>
            </w:pPr>
            <w:r w:rsidRPr="000C2634">
              <w:rPr>
                <w:rFonts w:ascii="Calibri" w:hAnsi="Calibri"/>
                <w:szCs w:val="18"/>
              </w:rPr>
              <w:t>$3,000 (Change Mgmt Pack)</w:t>
            </w:r>
          </w:p>
          <w:p w:rsidR="00790687" w:rsidRPr="000C2634" w:rsidRDefault="00790687" w:rsidP="008726DD">
            <w:pPr>
              <w:pStyle w:val="TableText"/>
              <w:rPr>
                <w:rFonts w:ascii="Calibri" w:hAnsi="Calibri"/>
                <w:szCs w:val="18"/>
              </w:rPr>
            </w:pPr>
            <w:r w:rsidRPr="000C2634">
              <w:rPr>
                <w:rFonts w:ascii="Calibri" w:hAnsi="Calibri"/>
                <w:szCs w:val="18"/>
              </w:rPr>
              <w:t>Total = $12,000</w:t>
            </w:r>
          </w:p>
        </w:tc>
        <w:tc>
          <w:tcPr>
            <w:tcW w:w="2340" w:type="dxa"/>
          </w:tcPr>
          <w:p w:rsidR="00790687" w:rsidRPr="000C2634" w:rsidRDefault="00790687" w:rsidP="008726DD">
            <w:pPr>
              <w:pStyle w:val="TableText"/>
              <w:rPr>
                <w:rFonts w:ascii="Calibri" w:hAnsi="Calibri"/>
                <w:szCs w:val="18"/>
              </w:rPr>
            </w:pPr>
            <w:r w:rsidRPr="000C2634">
              <w:rPr>
                <w:rFonts w:ascii="Calibri" w:hAnsi="Calibri"/>
                <w:szCs w:val="18"/>
              </w:rPr>
              <w:t>$12,000 (Recovery Expert)</w:t>
            </w:r>
          </w:p>
          <w:p w:rsidR="00790687" w:rsidRPr="000C2634" w:rsidRDefault="00790687" w:rsidP="008726DD">
            <w:pPr>
              <w:pStyle w:val="TableText"/>
              <w:rPr>
                <w:rFonts w:ascii="Calibri" w:hAnsi="Calibri"/>
                <w:szCs w:val="18"/>
              </w:rPr>
            </w:pPr>
            <w:r w:rsidRPr="000C2634">
              <w:rPr>
                <w:rFonts w:ascii="Calibri" w:hAnsi="Calibri"/>
                <w:szCs w:val="18"/>
              </w:rPr>
              <w:t>$10,000 (Performance Expert)</w:t>
            </w:r>
          </w:p>
          <w:p w:rsidR="00790687" w:rsidRPr="000C2634" w:rsidRDefault="00790687" w:rsidP="008726DD">
            <w:pPr>
              <w:pStyle w:val="TableText"/>
              <w:rPr>
                <w:rFonts w:ascii="Calibri" w:hAnsi="Calibri"/>
                <w:szCs w:val="18"/>
              </w:rPr>
            </w:pPr>
            <w:r w:rsidRPr="000C2634">
              <w:rPr>
                <w:rFonts w:ascii="Calibri" w:hAnsi="Calibri"/>
                <w:szCs w:val="18"/>
              </w:rPr>
              <w:t>Total = $22,000</w:t>
            </w:r>
          </w:p>
        </w:tc>
      </w:tr>
      <w:tr w:rsidR="00790687" w:rsidRPr="000C2634" w:rsidTr="00495C08">
        <w:trPr>
          <w:cantSplit/>
        </w:trPr>
        <w:tc>
          <w:tcPr>
            <w:tcW w:w="1908" w:type="dxa"/>
          </w:tcPr>
          <w:p w:rsidR="00790687" w:rsidRPr="000C2634" w:rsidRDefault="00790687" w:rsidP="008726DD">
            <w:pPr>
              <w:pStyle w:val="TableText"/>
              <w:rPr>
                <w:rFonts w:ascii="Calibri" w:hAnsi="Calibri"/>
                <w:b/>
                <w:szCs w:val="18"/>
              </w:rPr>
            </w:pPr>
            <w:r w:rsidRPr="000C2634">
              <w:rPr>
                <w:rFonts w:ascii="Calibri" w:hAnsi="Calibri"/>
                <w:b/>
                <w:szCs w:val="18"/>
              </w:rPr>
              <w:t>OLAP Server and Data Mining Add-on</w:t>
            </w:r>
          </w:p>
        </w:tc>
        <w:tc>
          <w:tcPr>
            <w:tcW w:w="1350" w:type="dxa"/>
          </w:tcPr>
          <w:p w:rsidR="00790687" w:rsidRPr="000C2634" w:rsidRDefault="00790687" w:rsidP="008726DD">
            <w:pPr>
              <w:pStyle w:val="TableText"/>
              <w:rPr>
                <w:rFonts w:ascii="Calibri" w:hAnsi="Calibri"/>
                <w:szCs w:val="18"/>
              </w:rPr>
            </w:pPr>
            <w:r w:rsidRPr="000C2634">
              <w:rPr>
                <w:rFonts w:ascii="Calibri" w:hAnsi="Calibri"/>
                <w:szCs w:val="18"/>
              </w:rPr>
              <w:t>Included</w:t>
            </w:r>
          </w:p>
        </w:tc>
        <w:tc>
          <w:tcPr>
            <w:tcW w:w="2610" w:type="dxa"/>
          </w:tcPr>
          <w:p w:rsidR="00790687" w:rsidRPr="000C2634" w:rsidRDefault="00790687" w:rsidP="008726DD">
            <w:pPr>
              <w:pStyle w:val="TableText"/>
              <w:rPr>
                <w:rFonts w:ascii="Calibri" w:hAnsi="Calibri"/>
                <w:szCs w:val="18"/>
              </w:rPr>
            </w:pPr>
            <w:r w:rsidRPr="000C2634">
              <w:rPr>
                <w:rFonts w:ascii="Calibri" w:hAnsi="Calibri"/>
                <w:szCs w:val="18"/>
              </w:rPr>
              <w:t>$40,000 (OLAP and Data Mining Option)</w:t>
            </w:r>
          </w:p>
        </w:tc>
        <w:tc>
          <w:tcPr>
            <w:tcW w:w="2340" w:type="dxa"/>
          </w:tcPr>
          <w:p w:rsidR="00FE615D" w:rsidRPr="000C2634" w:rsidRDefault="00790687" w:rsidP="00FE615D">
            <w:pPr>
              <w:pStyle w:val="TableText"/>
              <w:rPr>
                <w:rFonts w:ascii="Calibri" w:hAnsi="Calibri"/>
                <w:szCs w:val="18"/>
              </w:rPr>
            </w:pPr>
            <w:r w:rsidRPr="000C2634">
              <w:rPr>
                <w:rFonts w:ascii="Calibri" w:hAnsi="Calibri"/>
                <w:szCs w:val="18"/>
              </w:rPr>
              <w:t>$75,000 (</w:t>
            </w:r>
            <w:r w:rsidR="00FE615D">
              <w:rPr>
                <w:rFonts w:ascii="Calibri" w:hAnsi="Calibri"/>
                <w:szCs w:val="18"/>
              </w:rPr>
              <w:t>DB2 Data Warehouse</w:t>
            </w:r>
            <w:r w:rsidRPr="000C2634">
              <w:rPr>
                <w:rFonts w:ascii="Calibri" w:hAnsi="Calibri"/>
                <w:szCs w:val="18"/>
              </w:rPr>
              <w:t xml:space="preserve"> Enterprise Edition)</w:t>
            </w:r>
          </w:p>
        </w:tc>
      </w:tr>
      <w:tr w:rsidR="00FE615D" w:rsidRPr="000C2634" w:rsidTr="00495C08">
        <w:trPr>
          <w:cantSplit/>
        </w:trPr>
        <w:tc>
          <w:tcPr>
            <w:tcW w:w="1908" w:type="dxa"/>
          </w:tcPr>
          <w:p w:rsidR="00FE615D" w:rsidRPr="000C2634" w:rsidRDefault="00FE615D" w:rsidP="008726DD">
            <w:pPr>
              <w:pStyle w:val="TableText"/>
              <w:rPr>
                <w:rFonts w:ascii="Calibri" w:hAnsi="Calibri"/>
                <w:b/>
                <w:szCs w:val="18"/>
              </w:rPr>
            </w:pPr>
            <w:r>
              <w:rPr>
                <w:rFonts w:ascii="Calibri" w:hAnsi="Calibri"/>
                <w:b/>
                <w:szCs w:val="18"/>
              </w:rPr>
              <w:t>Enterprise ETL Add-on</w:t>
            </w:r>
          </w:p>
        </w:tc>
        <w:tc>
          <w:tcPr>
            <w:tcW w:w="1350" w:type="dxa"/>
          </w:tcPr>
          <w:p w:rsidR="00FE615D" w:rsidRPr="000C2634" w:rsidRDefault="00FE615D" w:rsidP="008726DD">
            <w:pPr>
              <w:pStyle w:val="TableText"/>
              <w:rPr>
                <w:rFonts w:ascii="Calibri" w:hAnsi="Calibri"/>
                <w:szCs w:val="18"/>
              </w:rPr>
            </w:pPr>
            <w:r>
              <w:rPr>
                <w:rFonts w:ascii="Calibri" w:hAnsi="Calibri"/>
                <w:szCs w:val="18"/>
              </w:rPr>
              <w:t>Included</w:t>
            </w:r>
          </w:p>
        </w:tc>
        <w:tc>
          <w:tcPr>
            <w:tcW w:w="2610" w:type="dxa"/>
          </w:tcPr>
          <w:p w:rsidR="00FE615D" w:rsidRPr="000C2634" w:rsidRDefault="00FE615D" w:rsidP="00FE615D">
            <w:pPr>
              <w:pStyle w:val="TableText"/>
              <w:rPr>
                <w:rFonts w:ascii="Calibri" w:hAnsi="Calibri"/>
                <w:szCs w:val="18"/>
              </w:rPr>
            </w:pPr>
            <w:r>
              <w:rPr>
                <w:rFonts w:ascii="Calibri" w:hAnsi="Calibri"/>
                <w:szCs w:val="18"/>
              </w:rPr>
              <w:t>$10,000 (Warehouse Builder Enterprise ETL)</w:t>
            </w:r>
          </w:p>
        </w:tc>
        <w:tc>
          <w:tcPr>
            <w:tcW w:w="2340" w:type="dxa"/>
          </w:tcPr>
          <w:p w:rsidR="00FE615D" w:rsidRPr="000C2634" w:rsidRDefault="00FE615D" w:rsidP="00FE615D">
            <w:pPr>
              <w:pStyle w:val="TableText"/>
              <w:rPr>
                <w:rFonts w:ascii="Calibri" w:hAnsi="Calibri"/>
                <w:szCs w:val="18"/>
              </w:rPr>
            </w:pPr>
            <w:r>
              <w:rPr>
                <w:rFonts w:ascii="Calibri" w:hAnsi="Calibri"/>
                <w:szCs w:val="18"/>
              </w:rPr>
              <w:t>$62,500 (WebSphere DataStage)</w:t>
            </w:r>
          </w:p>
        </w:tc>
      </w:tr>
      <w:tr w:rsidR="00790687" w:rsidRPr="000C2634" w:rsidTr="00495C08">
        <w:trPr>
          <w:cantSplit/>
        </w:trPr>
        <w:tc>
          <w:tcPr>
            <w:tcW w:w="1908" w:type="dxa"/>
          </w:tcPr>
          <w:p w:rsidR="00790687" w:rsidRPr="000C2634" w:rsidRDefault="00790687" w:rsidP="008726DD">
            <w:pPr>
              <w:pStyle w:val="TableText"/>
              <w:rPr>
                <w:rFonts w:ascii="Calibri" w:hAnsi="Calibri"/>
                <w:b/>
                <w:szCs w:val="18"/>
              </w:rPr>
            </w:pPr>
            <w:r w:rsidRPr="000C2634">
              <w:rPr>
                <w:rFonts w:ascii="Calibri" w:hAnsi="Calibri"/>
                <w:b/>
                <w:szCs w:val="18"/>
              </w:rPr>
              <w:t>Partitioning Add-on</w:t>
            </w:r>
          </w:p>
        </w:tc>
        <w:tc>
          <w:tcPr>
            <w:tcW w:w="1350" w:type="dxa"/>
          </w:tcPr>
          <w:p w:rsidR="00790687" w:rsidRPr="000C2634" w:rsidRDefault="00790687" w:rsidP="008726DD">
            <w:pPr>
              <w:pStyle w:val="TableText"/>
              <w:rPr>
                <w:rFonts w:ascii="Calibri" w:hAnsi="Calibri"/>
                <w:szCs w:val="18"/>
              </w:rPr>
            </w:pPr>
            <w:r w:rsidRPr="000C2634">
              <w:rPr>
                <w:rFonts w:ascii="Calibri" w:hAnsi="Calibri"/>
                <w:szCs w:val="18"/>
              </w:rPr>
              <w:t>Included</w:t>
            </w:r>
          </w:p>
        </w:tc>
        <w:tc>
          <w:tcPr>
            <w:tcW w:w="2610" w:type="dxa"/>
          </w:tcPr>
          <w:p w:rsidR="00790687" w:rsidRPr="000C2634" w:rsidRDefault="00790687" w:rsidP="00FE615D">
            <w:pPr>
              <w:pStyle w:val="TableText"/>
              <w:rPr>
                <w:rFonts w:ascii="Calibri" w:hAnsi="Calibri"/>
                <w:szCs w:val="18"/>
              </w:rPr>
            </w:pPr>
            <w:r w:rsidRPr="000C2634">
              <w:rPr>
                <w:rFonts w:ascii="Calibri" w:hAnsi="Calibri"/>
                <w:szCs w:val="18"/>
              </w:rPr>
              <w:t>$10,000 (</w:t>
            </w:r>
            <w:r w:rsidR="00FE615D">
              <w:rPr>
                <w:rFonts w:ascii="Calibri" w:hAnsi="Calibri"/>
                <w:szCs w:val="18"/>
              </w:rPr>
              <w:t>Partitioning Option</w:t>
            </w:r>
            <w:r w:rsidRPr="000C2634">
              <w:rPr>
                <w:rFonts w:ascii="Calibri" w:hAnsi="Calibri"/>
                <w:szCs w:val="18"/>
              </w:rPr>
              <w:t>)</w:t>
            </w:r>
          </w:p>
        </w:tc>
        <w:tc>
          <w:tcPr>
            <w:tcW w:w="2340" w:type="dxa"/>
          </w:tcPr>
          <w:p w:rsidR="00790687" w:rsidRPr="000C2634" w:rsidRDefault="00790687" w:rsidP="00A77B8A">
            <w:pPr>
              <w:pStyle w:val="TableText"/>
              <w:rPr>
                <w:rFonts w:ascii="Calibri" w:hAnsi="Calibri"/>
                <w:szCs w:val="18"/>
              </w:rPr>
            </w:pPr>
            <w:r w:rsidRPr="000C2634">
              <w:rPr>
                <w:rFonts w:ascii="Calibri" w:hAnsi="Calibri"/>
                <w:szCs w:val="18"/>
              </w:rPr>
              <w:t>$</w:t>
            </w:r>
            <w:r w:rsidR="00A77B8A">
              <w:rPr>
                <w:rFonts w:ascii="Calibri" w:hAnsi="Calibri"/>
                <w:szCs w:val="18"/>
              </w:rPr>
              <w:t>10,0</w:t>
            </w:r>
            <w:r w:rsidR="00FE615D">
              <w:rPr>
                <w:rFonts w:ascii="Calibri" w:hAnsi="Calibri"/>
                <w:szCs w:val="18"/>
              </w:rPr>
              <w:t>00</w:t>
            </w:r>
            <w:r w:rsidRPr="000C2634">
              <w:rPr>
                <w:rFonts w:ascii="Calibri" w:hAnsi="Calibri"/>
                <w:szCs w:val="18"/>
              </w:rPr>
              <w:t xml:space="preserve"> (</w:t>
            </w:r>
            <w:r w:rsidR="00FE615D">
              <w:rPr>
                <w:rFonts w:ascii="Calibri" w:hAnsi="Calibri"/>
                <w:szCs w:val="18"/>
              </w:rPr>
              <w:t>Database Partitioning</w:t>
            </w:r>
            <w:r w:rsidRPr="000C2634">
              <w:rPr>
                <w:rFonts w:ascii="Calibri" w:hAnsi="Calibri"/>
                <w:szCs w:val="18"/>
              </w:rPr>
              <w:t>)</w:t>
            </w:r>
          </w:p>
        </w:tc>
      </w:tr>
      <w:tr w:rsidR="00790687" w:rsidRPr="000C2634" w:rsidTr="00495C08">
        <w:trPr>
          <w:cantSplit/>
        </w:trPr>
        <w:tc>
          <w:tcPr>
            <w:tcW w:w="1908" w:type="dxa"/>
          </w:tcPr>
          <w:p w:rsidR="00790687" w:rsidRPr="000C2634" w:rsidRDefault="00790687" w:rsidP="008726DD">
            <w:pPr>
              <w:pStyle w:val="TableText"/>
              <w:rPr>
                <w:rFonts w:ascii="Calibri" w:hAnsi="Calibri"/>
                <w:b/>
                <w:szCs w:val="18"/>
              </w:rPr>
            </w:pPr>
            <w:r w:rsidRPr="000C2634">
              <w:rPr>
                <w:rFonts w:ascii="Calibri" w:hAnsi="Calibri"/>
                <w:b/>
                <w:szCs w:val="18"/>
              </w:rPr>
              <w:t>Advanced Security Add-on</w:t>
            </w:r>
          </w:p>
        </w:tc>
        <w:tc>
          <w:tcPr>
            <w:tcW w:w="1350" w:type="dxa"/>
          </w:tcPr>
          <w:p w:rsidR="00790687" w:rsidRPr="000C2634" w:rsidRDefault="00790687" w:rsidP="008726DD">
            <w:pPr>
              <w:pStyle w:val="TableText"/>
              <w:rPr>
                <w:rFonts w:ascii="Calibri" w:hAnsi="Calibri"/>
                <w:szCs w:val="18"/>
              </w:rPr>
            </w:pPr>
            <w:r w:rsidRPr="000C2634">
              <w:rPr>
                <w:rFonts w:ascii="Calibri" w:hAnsi="Calibri"/>
                <w:szCs w:val="18"/>
              </w:rPr>
              <w:t>Included</w:t>
            </w:r>
          </w:p>
        </w:tc>
        <w:tc>
          <w:tcPr>
            <w:tcW w:w="2610" w:type="dxa"/>
          </w:tcPr>
          <w:p w:rsidR="00790687" w:rsidRPr="000C2634" w:rsidRDefault="00790687" w:rsidP="008726DD">
            <w:pPr>
              <w:pStyle w:val="TableText"/>
              <w:rPr>
                <w:rFonts w:ascii="Calibri" w:hAnsi="Calibri"/>
                <w:szCs w:val="18"/>
              </w:rPr>
            </w:pPr>
            <w:r w:rsidRPr="000C2634">
              <w:rPr>
                <w:rFonts w:ascii="Calibri" w:hAnsi="Calibri"/>
                <w:szCs w:val="18"/>
              </w:rPr>
              <w:t>$10,000 (Advanced Security Option)</w:t>
            </w:r>
          </w:p>
        </w:tc>
        <w:tc>
          <w:tcPr>
            <w:tcW w:w="2340" w:type="dxa"/>
          </w:tcPr>
          <w:p w:rsidR="00790687" w:rsidRPr="000C2634" w:rsidRDefault="00790687" w:rsidP="008726DD">
            <w:pPr>
              <w:pStyle w:val="TableText"/>
              <w:rPr>
                <w:rFonts w:ascii="Calibri" w:hAnsi="Calibri"/>
                <w:szCs w:val="18"/>
              </w:rPr>
            </w:pPr>
            <w:r w:rsidRPr="000C2634">
              <w:rPr>
                <w:rFonts w:ascii="Calibri" w:hAnsi="Calibri"/>
                <w:szCs w:val="18"/>
              </w:rPr>
              <w:t>$10,000 (Advanced Access Control)</w:t>
            </w:r>
          </w:p>
        </w:tc>
      </w:tr>
      <w:tr w:rsidR="00790687" w:rsidRPr="000C2634" w:rsidTr="00495C08">
        <w:trPr>
          <w:cantSplit/>
        </w:trPr>
        <w:tc>
          <w:tcPr>
            <w:tcW w:w="1908" w:type="dxa"/>
          </w:tcPr>
          <w:p w:rsidR="00790687" w:rsidRPr="000C2634" w:rsidRDefault="00790687" w:rsidP="008726DD">
            <w:pPr>
              <w:pStyle w:val="TableText"/>
              <w:rPr>
                <w:rFonts w:ascii="Calibri" w:hAnsi="Calibri"/>
                <w:b/>
                <w:szCs w:val="18"/>
              </w:rPr>
            </w:pPr>
            <w:r w:rsidRPr="000C2634">
              <w:rPr>
                <w:rFonts w:ascii="Calibri" w:hAnsi="Calibri"/>
                <w:b/>
                <w:szCs w:val="18"/>
              </w:rPr>
              <w:t>Total Cost</w:t>
            </w:r>
          </w:p>
        </w:tc>
        <w:tc>
          <w:tcPr>
            <w:tcW w:w="1350" w:type="dxa"/>
          </w:tcPr>
          <w:p w:rsidR="00790687" w:rsidRPr="000C2634" w:rsidRDefault="00790687" w:rsidP="008726DD">
            <w:pPr>
              <w:pStyle w:val="TableText"/>
              <w:rPr>
                <w:rFonts w:ascii="Calibri" w:hAnsi="Calibri"/>
                <w:b/>
                <w:szCs w:val="18"/>
              </w:rPr>
            </w:pPr>
            <w:r w:rsidRPr="000C2634">
              <w:rPr>
                <w:rFonts w:ascii="Calibri" w:hAnsi="Calibri"/>
                <w:b/>
                <w:szCs w:val="18"/>
              </w:rPr>
              <w:t>$24,999</w:t>
            </w:r>
          </w:p>
        </w:tc>
        <w:tc>
          <w:tcPr>
            <w:tcW w:w="2610" w:type="dxa"/>
          </w:tcPr>
          <w:p w:rsidR="00790687" w:rsidRPr="000C2634" w:rsidRDefault="00FE615D" w:rsidP="008726DD">
            <w:pPr>
              <w:pStyle w:val="TableText"/>
              <w:rPr>
                <w:rFonts w:ascii="Calibri" w:hAnsi="Calibri"/>
                <w:b/>
                <w:szCs w:val="18"/>
              </w:rPr>
            </w:pPr>
            <w:r>
              <w:rPr>
                <w:rFonts w:ascii="Calibri" w:hAnsi="Calibri"/>
                <w:b/>
                <w:szCs w:val="18"/>
              </w:rPr>
              <w:t>$12</w:t>
            </w:r>
            <w:r w:rsidR="00790687" w:rsidRPr="000C2634">
              <w:rPr>
                <w:rFonts w:ascii="Calibri" w:hAnsi="Calibri"/>
                <w:b/>
                <w:szCs w:val="18"/>
              </w:rPr>
              <w:t>2,000</w:t>
            </w:r>
          </w:p>
        </w:tc>
        <w:tc>
          <w:tcPr>
            <w:tcW w:w="2340" w:type="dxa"/>
          </w:tcPr>
          <w:p w:rsidR="00790687" w:rsidRPr="000C2634" w:rsidRDefault="00790687" w:rsidP="00FE615D">
            <w:pPr>
              <w:pStyle w:val="TableText"/>
              <w:rPr>
                <w:rFonts w:ascii="Calibri" w:hAnsi="Calibri"/>
                <w:b/>
                <w:szCs w:val="18"/>
              </w:rPr>
            </w:pPr>
            <w:r w:rsidRPr="000C2634">
              <w:rPr>
                <w:rFonts w:ascii="Calibri" w:hAnsi="Calibri"/>
                <w:b/>
                <w:szCs w:val="18"/>
              </w:rPr>
              <w:t>$</w:t>
            </w:r>
            <w:r w:rsidR="00001F60">
              <w:rPr>
                <w:rFonts w:ascii="Calibri" w:hAnsi="Calibri"/>
                <w:b/>
                <w:szCs w:val="18"/>
              </w:rPr>
              <w:t>215,9</w:t>
            </w:r>
            <w:r w:rsidR="00FE615D">
              <w:rPr>
                <w:rFonts w:ascii="Calibri" w:hAnsi="Calibri"/>
                <w:b/>
                <w:szCs w:val="18"/>
              </w:rPr>
              <w:t>00</w:t>
            </w:r>
          </w:p>
        </w:tc>
      </w:tr>
      <w:bookmarkEnd w:id="8"/>
    </w:tbl>
    <w:p w:rsidR="00790687" w:rsidRPr="008E2759" w:rsidRDefault="00790687" w:rsidP="00683356">
      <w:pPr>
        <w:pStyle w:val="TableSpacingAfter"/>
      </w:pPr>
    </w:p>
    <w:p w:rsidR="00790687" w:rsidRPr="00E02EE9" w:rsidRDefault="00790687" w:rsidP="00D65FDC">
      <w:pPr>
        <w:pStyle w:val="AlertText"/>
        <w:rPr>
          <w:sz w:val="18"/>
          <w:szCs w:val="18"/>
        </w:rPr>
      </w:pPr>
      <w:r w:rsidRPr="00E02EE9">
        <w:rPr>
          <w:b/>
          <w:bCs/>
          <w:sz w:val="18"/>
          <w:szCs w:val="18"/>
        </w:rPr>
        <w:t>Note</w:t>
      </w:r>
      <w:r w:rsidR="00495C08" w:rsidRPr="00E02EE9">
        <w:rPr>
          <w:b/>
          <w:bCs/>
          <w:sz w:val="18"/>
          <w:szCs w:val="18"/>
        </w:rPr>
        <w:t>   </w:t>
      </w:r>
      <w:r w:rsidRPr="00E02EE9">
        <w:rPr>
          <w:sz w:val="18"/>
          <w:szCs w:val="18"/>
        </w:rPr>
        <w:t xml:space="preserve">All prices are per processor (or the equivalent IBM’s Processor Value Unit based on Intel/AMD processor) and reflect pricing for purchases within the United States and are in United States dollars. Pricing </w:t>
      </w:r>
      <w:r w:rsidR="00495C08" w:rsidRPr="00E02EE9">
        <w:rPr>
          <w:sz w:val="18"/>
          <w:szCs w:val="18"/>
        </w:rPr>
        <w:t xml:space="preserve">is </w:t>
      </w:r>
      <w:r w:rsidRPr="00E02EE9">
        <w:rPr>
          <w:sz w:val="18"/>
          <w:szCs w:val="18"/>
        </w:rPr>
        <w:t>based on information available on vendor Web sites.</w:t>
      </w:r>
    </w:p>
    <w:p w:rsidR="00E1210D" w:rsidRDefault="00790687" w:rsidP="0032463F">
      <w:pPr>
        <w:pStyle w:val="Heading4"/>
      </w:pPr>
      <w:bookmarkStart w:id="9" w:name="_Toc178405161"/>
      <w:r>
        <w:t>Multicore Licensing</w:t>
      </w:r>
      <w:bookmarkEnd w:id="9"/>
    </w:p>
    <w:p w:rsidR="00790687" w:rsidRPr="00790687" w:rsidRDefault="00790687" w:rsidP="00790687">
      <w:pPr>
        <w:pStyle w:val="Text"/>
      </w:pPr>
      <w:r w:rsidRPr="00790687">
        <w:t>After reviewing database editions and options, the next item to consider is the overall licensing model. This section review</w:t>
      </w:r>
      <w:r w:rsidR="00495C08">
        <w:t>s</w:t>
      </w:r>
      <w:r w:rsidRPr="00790687">
        <w:t xml:space="preserve"> per</w:t>
      </w:r>
      <w:r w:rsidR="00495C08">
        <w:t>-</w:t>
      </w:r>
      <w:r w:rsidRPr="00790687">
        <w:t xml:space="preserve">processor </w:t>
      </w:r>
      <w:r w:rsidR="00495C08">
        <w:t xml:space="preserve">licensing </w:t>
      </w:r>
      <w:r w:rsidRPr="00790687">
        <w:t xml:space="preserve">models in detail, as this is an area where technological advances in hardware may lead to wide cost discrepancies between vendors. </w:t>
      </w:r>
      <w:r w:rsidR="00495C08">
        <w:t>M</w:t>
      </w:r>
      <w:r w:rsidRPr="00790687">
        <w:t xml:space="preserve">ulticore is a technological innovation that will continue to drive </w:t>
      </w:r>
      <w:r w:rsidRPr="00790687">
        <w:lastRenderedPageBreak/>
        <w:t>database performance over the next few years. Because leading enterprise operating systems and most applications are ready to support the multithreaded environment, multicore chips are expected to deliver performance increases of more than 50</w:t>
      </w:r>
      <w:r w:rsidR="00495C08">
        <w:t> </w:t>
      </w:r>
      <w:r w:rsidRPr="00790687">
        <w:t>percent.</w:t>
      </w:r>
    </w:p>
    <w:p w:rsidR="00790687" w:rsidRPr="00790687" w:rsidRDefault="00495C08" w:rsidP="00790687">
      <w:pPr>
        <w:pStyle w:val="Text"/>
      </w:pPr>
      <w:r>
        <w:t>Following</w:t>
      </w:r>
      <w:r w:rsidR="00790687" w:rsidRPr="00790687">
        <w:t xml:space="preserve"> are the licensing models for each vendor:</w:t>
      </w:r>
    </w:p>
    <w:p w:rsidR="00790687" w:rsidRPr="00790687" w:rsidRDefault="00790687" w:rsidP="00495C08">
      <w:pPr>
        <w:pStyle w:val="BulletedList1"/>
      </w:pPr>
      <w:r w:rsidRPr="00790687">
        <w:rPr>
          <w:b/>
        </w:rPr>
        <w:t>Processor Value Unit (PVU)</w:t>
      </w:r>
      <w:r w:rsidR="004F3560">
        <w:rPr>
          <w:b/>
        </w:rPr>
        <w:t xml:space="preserve">. </w:t>
      </w:r>
      <w:r w:rsidRPr="00790687">
        <w:t>IBM has recently adopted a new approach to processor licensing called Processor Value Unit (PVU). A PVU is a unit of measure used to differentiate licensing of middleware on distributed processors</w:t>
      </w:r>
      <w:r w:rsidR="004F3560">
        <w:t xml:space="preserve">. </w:t>
      </w:r>
      <w:r w:rsidRPr="00790687">
        <w:t>Over time, PVU will evolve to differentiate processor families based on their relative performance. For example, Intel and AMD multicore processors give a PVU of 50</w:t>
      </w:r>
      <w:r w:rsidR="00495C08">
        <w:t> </w:t>
      </w:r>
      <w:r w:rsidRPr="00790687">
        <w:t>per core while SUN UltraSPARC T1 has PVU of 30</w:t>
      </w:r>
      <w:r w:rsidR="00495C08">
        <w:t> </w:t>
      </w:r>
      <w:r w:rsidRPr="00790687">
        <w:t>per core, and IBM Power6 has PVU of 120</w:t>
      </w:r>
      <w:r w:rsidR="00495C08">
        <w:t> </w:t>
      </w:r>
      <w:r w:rsidRPr="00790687">
        <w:t xml:space="preserve">per core. </w:t>
      </w:r>
    </w:p>
    <w:p w:rsidR="00790687" w:rsidRPr="00790687" w:rsidRDefault="00790687" w:rsidP="00495C08">
      <w:pPr>
        <w:pStyle w:val="BulletedList1"/>
      </w:pPr>
      <w:r w:rsidRPr="00790687">
        <w:rPr>
          <w:b/>
        </w:rPr>
        <w:t>Licensing Per Core</w:t>
      </w:r>
      <w:r w:rsidR="004F3560">
        <w:rPr>
          <w:b/>
        </w:rPr>
        <w:t xml:space="preserve">. </w:t>
      </w:r>
      <w:r w:rsidRPr="00790687">
        <w:t>Oracle</w:t>
      </w:r>
      <w:r w:rsidR="00495C08">
        <w:t>'s</w:t>
      </w:r>
      <w:r w:rsidRPr="00790687">
        <w:t xml:space="preserve"> policy </w:t>
      </w:r>
      <w:r w:rsidR="00495C08">
        <w:t>is to</w:t>
      </w:r>
      <w:r w:rsidR="00495C08" w:rsidRPr="00790687">
        <w:t xml:space="preserve"> charg</w:t>
      </w:r>
      <w:r w:rsidR="00495C08">
        <w:t>e</w:t>
      </w:r>
      <w:r w:rsidR="00495C08" w:rsidRPr="00790687">
        <w:t xml:space="preserve"> </w:t>
      </w:r>
      <w:r w:rsidRPr="00790687">
        <w:t xml:space="preserve">0.5 times the number of cores in a system for Intel and AMD, 0.25 times the number of cores for UltraSPARC T1 processor, and 0.75 times the number of cores in other systems, rounded up to the nearest whole number. For example, an Oracle customer with </w:t>
      </w:r>
      <w:r w:rsidR="00495C08">
        <w:t>one</w:t>
      </w:r>
      <w:r w:rsidRPr="00790687">
        <w:t xml:space="preserve"> Intel or AMD processor, quad-core server </w:t>
      </w:r>
      <w:r w:rsidR="00495C08">
        <w:t>is</w:t>
      </w:r>
      <w:r w:rsidRPr="00790687">
        <w:t xml:space="preserve"> charged for </w:t>
      </w:r>
      <w:r w:rsidR="00495C08">
        <w:t xml:space="preserve">the </w:t>
      </w:r>
      <w:r w:rsidRPr="00790687">
        <w:t xml:space="preserve">equivalent of </w:t>
      </w:r>
      <w:r w:rsidR="00495C08">
        <w:t>two</w:t>
      </w:r>
      <w:r w:rsidRPr="00790687">
        <w:t xml:space="preserve"> processors (0.5</w:t>
      </w:r>
      <w:r w:rsidR="00495C08">
        <w:t> </w:t>
      </w:r>
      <w:r w:rsidRPr="00790687">
        <w:t>x</w:t>
      </w:r>
      <w:r w:rsidR="00495C08">
        <w:t> </w:t>
      </w:r>
      <w:r w:rsidRPr="00790687">
        <w:t>4</w:t>
      </w:r>
      <w:r w:rsidR="00495C08">
        <w:t> </w:t>
      </w:r>
      <w:r w:rsidRPr="00790687">
        <w:t>cores</w:t>
      </w:r>
      <w:r w:rsidR="00495C08">
        <w:t> </w:t>
      </w:r>
      <w:r w:rsidRPr="00790687">
        <w:t>=</w:t>
      </w:r>
      <w:r w:rsidR="00495C08">
        <w:t> 2</w:t>
      </w:r>
      <w:r w:rsidRPr="00790687">
        <w:t xml:space="preserve"> for licensing purposes). As systems with more cores become available, the difference will become even more dramatic. For an 8-core system</w:t>
      </w:r>
      <w:r w:rsidR="00495C08">
        <w:t>, customers</w:t>
      </w:r>
      <w:r w:rsidRPr="00790687">
        <w:t xml:space="preserve"> will pay </w:t>
      </w:r>
      <w:r w:rsidR="00495C08">
        <w:t>four</w:t>
      </w:r>
      <w:r w:rsidRPr="00790687">
        <w:t xml:space="preserve"> times as much.</w:t>
      </w:r>
    </w:p>
    <w:p w:rsidR="00790687" w:rsidRPr="00790687" w:rsidRDefault="00790687" w:rsidP="00495C08">
      <w:pPr>
        <w:pStyle w:val="BulletedList1"/>
      </w:pPr>
      <w:r w:rsidRPr="00790687">
        <w:rPr>
          <w:b/>
        </w:rPr>
        <w:t>Licensing Per Processor</w:t>
      </w:r>
      <w:r w:rsidR="004F3560">
        <w:rPr>
          <w:b/>
        </w:rPr>
        <w:t xml:space="preserve">. </w:t>
      </w:r>
      <w:r w:rsidRPr="00790687">
        <w:t xml:space="preserve">In contrast, Microsoft has adopted a simplified multicore licensing policy, in which it continues to reduce enterprise software costs by licensing physical processors, not cores, for Microsoft software </w:t>
      </w:r>
      <w:r w:rsidR="00495C08">
        <w:t xml:space="preserve">that is </w:t>
      </w:r>
      <w:r w:rsidRPr="00790687">
        <w:t xml:space="preserve">licensed on a </w:t>
      </w:r>
      <w:r w:rsidR="00495C08" w:rsidRPr="00790687">
        <w:t>per</w:t>
      </w:r>
      <w:r w:rsidR="00495C08">
        <w:t>-</w:t>
      </w:r>
      <w:r w:rsidRPr="00790687">
        <w:t xml:space="preserve">processor basis. In other words, licensing requirements for per-processor software </w:t>
      </w:r>
      <w:r w:rsidR="00495C08">
        <w:t>is</w:t>
      </w:r>
      <w:r w:rsidRPr="00790687">
        <w:t xml:space="preserve"> determined by the number of processors, not </w:t>
      </w:r>
      <w:r w:rsidR="00E02EE9">
        <w:t xml:space="preserve">the number of </w:t>
      </w:r>
      <w:r w:rsidRPr="00790687">
        <w:t>cores.</w:t>
      </w:r>
    </w:p>
    <w:p w:rsidR="00D81F2E" w:rsidRPr="00C95874" w:rsidRDefault="00790687" w:rsidP="00D81F2E">
      <w:pPr>
        <w:pStyle w:val="Text"/>
      </w:pPr>
      <w:r w:rsidRPr="00790687">
        <w:t xml:space="preserve">The following table and graph show the </w:t>
      </w:r>
      <w:r w:rsidR="00B53DBF">
        <w:t>impact of multicore pricing on E</w:t>
      </w:r>
      <w:r w:rsidRPr="00790687">
        <w:t xml:space="preserve">nterprise </w:t>
      </w:r>
      <w:r w:rsidR="00495C08">
        <w:t xml:space="preserve">editions, </w:t>
      </w:r>
      <w:r w:rsidR="00B53DBF">
        <w:t xml:space="preserve">based on </w:t>
      </w:r>
      <w:r w:rsidR="00FD2805">
        <w:t>multicore systems that have four</w:t>
      </w:r>
      <w:r w:rsidR="00495C08">
        <w:t xml:space="preserve"> processor</w:t>
      </w:r>
      <w:r w:rsidR="00FD2805">
        <w:t>s</w:t>
      </w:r>
      <w:r w:rsidRPr="00790687">
        <w:t>.</w:t>
      </w:r>
    </w:p>
    <w:tbl>
      <w:tblPr>
        <w:tblW w:w="0" w:type="auto"/>
        <w:tblBorders>
          <w:top w:val="single" w:sz="12" w:space="0" w:color="000000"/>
          <w:bottom w:val="single" w:sz="12" w:space="0" w:color="000000"/>
        </w:tblBorders>
        <w:tblLook w:val="04A0"/>
      </w:tblPr>
      <w:tblGrid>
        <w:gridCol w:w="1908"/>
        <w:gridCol w:w="2361"/>
        <w:gridCol w:w="2135"/>
        <w:gridCol w:w="2135"/>
      </w:tblGrid>
      <w:tr w:rsidR="00790687" w:rsidTr="00683356">
        <w:tc>
          <w:tcPr>
            <w:tcW w:w="8539" w:type="dxa"/>
            <w:gridSpan w:val="4"/>
            <w:tcBorders>
              <w:top w:val="single" w:sz="12" w:space="0" w:color="000000"/>
              <w:bottom w:val="nil"/>
              <w:right w:val="single" w:sz="6" w:space="0" w:color="000000"/>
            </w:tcBorders>
            <w:shd w:val="pct20" w:color="auto" w:fill="auto"/>
          </w:tcPr>
          <w:p w:rsidR="00790687" w:rsidRPr="006C707F" w:rsidRDefault="00790687" w:rsidP="008726DD">
            <w:pPr>
              <w:pStyle w:val="TableText"/>
              <w:jc w:val="center"/>
              <w:rPr>
                <w:rFonts w:ascii="Calibri" w:hAnsi="Calibri"/>
                <w:b/>
                <w:i/>
                <w:iCs/>
                <w:szCs w:val="18"/>
              </w:rPr>
            </w:pPr>
            <w:r w:rsidRPr="006C707F">
              <w:rPr>
                <w:rFonts w:ascii="Calibri" w:hAnsi="Calibri"/>
                <w:b/>
                <w:i/>
                <w:iCs/>
                <w:szCs w:val="18"/>
              </w:rPr>
              <w:t>Licensing Comparison based on Intel or AMD system</w:t>
            </w:r>
          </w:p>
        </w:tc>
      </w:tr>
      <w:tr w:rsidR="00790687" w:rsidTr="00683356">
        <w:tc>
          <w:tcPr>
            <w:tcW w:w="1908" w:type="dxa"/>
            <w:tcBorders>
              <w:top w:val="nil"/>
              <w:bottom w:val="single" w:sz="4" w:space="0" w:color="auto"/>
              <w:right w:val="single" w:sz="6" w:space="0" w:color="000000"/>
            </w:tcBorders>
            <w:shd w:val="clear" w:color="auto" w:fill="auto"/>
          </w:tcPr>
          <w:p w:rsidR="00790687" w:rsidRPr="00134582" w:rsidRDefault="00790687" w:rsidP="008726DD">
            <w:pPr>
              <w:pStyle w:val="TableText"/>
              <w:rPr>
                <w:rFonts w:ascii="Calibri" w:hAnsi="Calibri"/>
                <w:b/>
                <w:szCs w:val="18"/>
              </w:rPr>
            </w:pPr>
            <w:r w:rsidRPr="00134582">
              <w:rPr>
                <w:rFonts w:ascii="Calibri" w:hAnsi="Calibri"/>
                <w:b/>
                <w:szCs w:val="18"/>
              </w:rPr>
              <w:t>System</w:t>
            </w:r>
          </w:p>
        </w:tc>
        <w:tc>
          <w:tcPr>
            <w:tcW w:w="2361" w:type="dxa"/>
            <w:tcBorders>
              <w:top w:val="nil"/>
              <w:bottom w:val="single" w:sz="4" w:space="0" w:color="auto"/>
            </w:tcBorders>
            <w:shd w:val="clear" w:color="auto" w:fill="auto"/>
          </w:tcPr>
          <w:p w:rsidR="00790687" w:rsidRPr="00134582" w:rsidRDefault="00790687" w:rsidP="008726DD">
            <w:pPr>
              <w:pStyle w:val="TableText"/>
              <w:rPr>
                <w:rFonts w:ascii="Calibri" w:hAnsi="Calibri"/>
                <w:b/>
                <w:szCs w:val="18"/>
              </w:rPr>
            </w:pPr>
            <w:r w:rsidRPr="00134582">
              <w:rPr>
                <w:rFonts w:ascii="Calibri" w:hAnsi="Calibri"/>
                <w:b/>
                <w:szCs w:val="18"/>
              </w:rPr>
              <w:t>Microsoft SQL Server</w:t>
            </w:r>
            <w:r>
              <w:rPr>
                <w:rFonts w:ascii="Calibri" w:hAnsi="Calibri"/>
                <w:b/>
                <w:szCs w:val="18"/>
              </w:rPr>
              <w:t xml:space="preserve"> 2005</w:t>
            </w:r>
          </w:p>
        </w:tc>
        <w:tc>
          <w:tcPr>
            <w:tcW w:w="2135" w:type="dxa"/>
            <w:tcBorders>
              <w:top w:val="nil"/>
              <w:bottom w:val="single" w:sz="4" w:space="0" w:color="auto"/>
            </w:tcBorders>
            <w:shd w:val="clear" w:color="auto" w:fill="auto"/>
          </w:tcPr>
          <w:p w:rsidR="00790687" w:rsidRPr="00134582" w:rsidRDefault="00790687" w:rsidP="008726DD">
            <w:pPr>
              <w:pStyle w:val="TableText"/>
              <w:rPr>
                <w:rFonts w:ascii="Calibri" w:hAnsi="Calibri"/>
                <w:b/>
                <w:szCs w:val="18"/>
              </w:rPr>
            </w:pPr>
            <w:r w:rsidRPr="00134582">
              <w:rPr>
                <w:rFonts w:ascii="Calibri" w:hAnsi="Calibri"/>
                <w:b/>
                <w:szCs w:val="18"/>
              </w:rPr>
              <w:t>IBM DB2 9</w:t>
            </w:r>
          </w:p>
        </w:tc>
        <w:tc>
          <w:tcPr>
            <w:tcW w:w="2135" w:type="dxa"/>
            <w:tcBorders>
              <w:top w:val="nil"/>
              <w:bottom w:val="single" w:sz="4" w:space="0" w:color="auto"/>
            </w:tcBorders>
            <w:shd w:val="clear" w:color="auto" w:fill="auto"/>
          </w:tcPr>
          <w:p w:rsidR="00790687" w:rsidRPr="00134582" w:rsidRDefault="00790687" w:rsidP="008726DD">
            <w:pPr>
              <w:pStyle w:val="TableText"/>
              <w:rPr>
                <w:rFonts w:ascii="Calibri" w:hAnsi="Calibri"/>
                <w:b/>
                <w:szCs w:val="18"/>
              </w:rPr>
            </w:pPr>
            <w:r w:rsidRPr="00134582">
              <w:rPr>
                <w:rFonts w:ascii="Calibri" w:hAnsi="Calibri"/>
                <w:b/>
                <w:szCs w:val="18"/>
              </w:rPr>
              <w:t>Oracle 11g</w:t>
            </w:r>
          </w:p>
        </w:tc>
      </w:tr>
      <w:tr w:rsidR="00790687" w:rsidTr="00683356">
        <w:tc>
          <w:tcPr>
            <w:tcW w:w="1908" w:type="dxa"/>
            <w:tcBorders>
              <w:top w:val="single" w:sz="4" w:space="0" w:color="auto"/>
              <w:right w:val="single" w:sz="6" w:space="0" w:color="000000"/>
            </w:tcBorders>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Dual-Core</w:t>
            </w:r>
          </w:p>
        </w:tc>
        <w:tc>
          <w:tcPr>
            <w:tcW w:w="2361" w:type="dxa"/>
            <w:tcBorders>
              <w:top w:val="single" w:sz="4" w:space="0" w:color="auto"/>
            </w:tcBorders>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$100,000</w:t>
            </w:r>
          </w:p>
        </w:tc>
        <w:tc>
          <w:tcPr>
            <w:tcW w:w="2135" w:type="dxa"/>
            <w:tcBorders>
              <w:top w:val="single" w:sz="4" w:space="0" w:color="auto"/>
            </w:tcBorders>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$145,600</w:t>
            </w:r>
          </w:p>
        </w:tc>
        <w:tc>
          <w:tcPr>
            <w:tcW w:w="2135" w:type="dxa"/>
            <w:tcBorders>
              <w:top w:val="single" w:sz="4" w:space="0" w:color="auto"/>
            </w:tcBorders>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$160,000</w:t>
            </w:r>
          </w:p>
        </w:tc>
      </w:tr>
      <w:tr w:rsidR="00790687" w:rsidTr="00683356">
        <w:tc>
          <w:tcPr>
            <w:tcW w:w="1908" w:type="dxa"/>
            <w:tcBorders>
              <w:right w:val="single" w:sz="6" w:space="0" w:color="000000"/>
            </w:tcBorders>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Quad-Core</w:t>
            </w:r>
          </w:p>
        </w:tc>
        <w:tc>
          <w:tcPr>
            <w:tcW w:w="2361" w:type="dxa"/>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$100,000</w:t>
            </w:r>
          </w:p>
        </w:tc>
        <w:tc>
          <w:tcPr>
            <w:tcW w:w="2135" w:type="dxa"/>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$291,200</w:t>
            </w:r>
          </w:p>
        </w:tc>
        <w:tc>
          <w:tcPr>
            <w:tcW w:w="2135" w:type="dxa"/>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$320,000</w:t>
            </w:r>
          </w:p>
        </w:tc>
      </w:tr>
      <w:tr w:rsidR="00790687" w:rsidTr="00683356">
        <w:tc>
          <w:tcPr>
            <w:tcW w:w="1908" w:type="dxa"/>
            <w:tcBorders>
              <w:right w:val="single" w:sz="6" w:space="0" w:color="000000"/>
            </w:tcBorders>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Octi-Core</w:t>
            </w:r>
          </w:p>
        </w:tc>
        <w:tc>
          <w:tcPr>
            <w:tcW w:w="2361" w:type="dxa"/>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$100,000</w:t>
            </w:r>
          </w:p>
        </w:tc>
        <w:tc>
          <w:tcPr>
            <w:tcW w:w="2135" w:type="dxa"/>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$582,400</w:t>
            </w:r>
          </w:p>
        </w:tc>
        <w:tc>
          <w:tcPr>
            <w:tcW w:w="2135" w:type="dxa"/>
            <w:shd w:val="clear" w:color="auto" w:fill="auto"/>
          </w:tcPr>
          <w:p w:rsidR="00790687" w:rsidRPr="00134582" w:rsidRDefault="00790687" w:rsidP="008726DD">
            <w:pPr>
              <w:pStyle w:val="TableText"/>
              <w:rPr>
                <w:rFonts w:ascii="Calibri" w:hAnsi="Calibri"/>
                <w:szCs w:val="18"/>
              </w:rPr>
            </w:pPr>
            <w:r w:rsidRPr="00134582">
              <w:rPr>
                <w:rFonts w:ascii="Calibri" w:hAnsi="Calibri"/>
                <w:szCs w:val="18"/>
              </w:rPr>
              <w:t>$640,000</w:t>
            </w:r>
          </w:p>
        </w:tc>
      </w:tr>
    </w:tbl>
    <w:p w:rsidR="00D81F2E" w:rsidRPr="00E02EE9" w:rsidRDefault="00D81F2E" w:rsidP="00D65FDC">
      <w:pPr>
        <w:pStyle w:val="AlertText"/>
        <w:rPr>
          <w:sz w:val="18"/>
          <w:szCs w:val="18"/>
        </w:rPr>
      </w:pPr>
      <w:r w:rsidRPr="00E02EE9">
        <w:rPr>
          <w:b/>
          <w:bCs/>
          <w:sz w:val="18"/>
          <w:szCs w:val="18"/>
        </w:rPr>
        <w:t>Note</w:t>
      </w:r>
      <w:r w:rsidR="00FD2805" w:rsidRPr="00E02EE9">
        <w:rPr>
          <w:b/>
          <w:bCs/>
          <w:sz w:val="18"/>
          <w:szCs w:val="18"/>
        </w:rPr>
        <w:t>   </w:t>
      </w:r>
      <w:r w:rsidRPr="00E02EE9">
        <w:rPr>
          <w:sz w:val="18"/>
          <w:szCs w:val="18"/>
        </w:rPr>
        <w:t xml:space="preserve">All prices are for purchases within the United States and are in United States dollars. Pricing </w:t>
      </w:r>
      <w:r w:rsidR="00FD2805" w:rsidRPr="00E02EE9">
        <w:rPr>
          <w:sz w:val="18"/>
          <w:szCs w:val="18"/>
        </w:rPr>
        <w:t xml:space="preserve">is </w:t>
      </w:r>
      <w:r w:rsidRPr="00E02EE9">
        <w:rPr>
          <w:sz w:val="18"/>
          <w:szCs w:val="18"/>
        </w:rPr>
        <w:t xml:space="preserve">based on information </w:t>
      </w:r>
      <w:r w:rsidR="00FD2805" w:rsidRPr="00E02EE9">
        <w:rPr>
          <w:sz w:val="18"/>
          <w:szCs w:val="18"/>
        </w:rPr>
        <w:t xml:space="preserve">that is </w:t>
      </w:r>
      <w:r w:rsidRPr="00E02EE9">
        <w:rPr>
          <w:sz w:val="18"/>
          <w:szCs w:val="18"/>
        </w:rPr>
        <w:t>available on vendor Web sites.</w:t>
      </w:r>
    </w:p>
    <w:p w:rsidR="00790687" w:rsidRDefault="00422132" w:rsidP="00422132">
      <w:pPr>
        <w:pStyle w:val="Figure"/>
      </w:pPr>
      <w:r>
        <w:rPr>
          <w:noProof/>
        </w:rPr>
        <w:lastRenderedPageBreak/>
        <w:drawing>
          <wp:inline distT="0" distB="0" distL="0" distR="0">
            <wp:extent cx="4981575" cy="2486025"/>
            <wp:effectExtent l="19050" t="0" r="9525" b="0"/>
            <wp:docPr id="9" name="Picture 8" descr="DBPricing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PricingFig2.jpg"/>
                    <pic:cNvPicPr/>
                  </pic:nvPicPr>
                  <pic:blipFill>
                    <a:blip r:embed="rId16"/>
                    <a:stretch>
                      <a:fillRect/>
                    </a:stretch>
                  </pic:blipFill>
                  <pic:spPr>
                    <a:xfrm>
                      <a:off x="0" y="0"/>
                      <a:ext cx="4981575" cy="2486025"/>
                    </a:xfrm>
                    <a:prstGeom prst="rect">
                      <a:avLst/>
                    </a:prstGeom>
                  </pic:spPr>
                </pic:pic>
              </a:graphicData>
            </a:graphic>
          </wp:inline>
        </w:drawing>
      </w:r>
    </w:p>
    <w:p w:rsidR="00D81F2E" w:rsidRPr="00E02EE9" w:rsidRDefault="00D81F2E" w:rsidP="00D65FDC">
      <w:pPr>
        <w:pStyle w:val="AlertText"/>
        <w:rPr>
          <w:sz w:val="18"/>
          <w:szCs w:val="18"/>
        </w:rPr>
      </w:pPr>
      <w:r w:rsidRPr="00E02EE9">
        <w:rPr>
          <w:b/>
          <w:bCs/>
          <w:sz w:val="18"/>
          <w:szCs w:val="18"/>
        </w:rPr>
        <w:t>Note</w:t>
      </w:r>
      <w:r w:rsidR="00C64A0A" w:rsidRPr="00E02EE9">
        <w:rPr>
          <w:b/>
          <w:bCs/>
          <w:sz w:val="18"/>
          <w:szCs w:val="18"/>
        </w:rPr>
        <w:t>   </w:t>
      </w:r>
      <w:r w:rsidRPr="00E02EE9">
        <w:rPr>
          <w:sz w:val="18"/>
          <w:szCs w:val="18"/>
        </w:rPr>
        <w:t xml:space="preserve">All prices are for purchases within the United States and are in United States dollars. Pricing </w:t>
      </w:r>
      <w:r w:rsidR="00FD2805" w:rsidRPr="00E02EE9">
        <w:rPr>
          <w:sz w:val="18"/>
          <w:szCs w:val="18"/>
        </w:rPr>
        <w:t xml:space="preserve">is </w:t>
      </w:r>
      <w:r w:rsidRPr="00E02EE9">
        <w:rPr>
          <w:sz w:val="18"/>
          <w:szCs w:val="18"/>
        </w:rPr>
        <w:t xml:space="preserve">based on information </w:t>
      </w:r>
      <w:r w:rsidR="00FD2805" w:rsidRPr="00E02EE9">
        <w:rPr>
          <w:sz w:val="18"/>
          <w:szCs w:val="18"/>
        </w:rPr>
        <w:t xml:space="preserve">that is </w:t>
      </w:r>
      <w:r w:rsidRPr="00E02EE9">
        <w:rPr>
          <w:sz w:val="18"/>
          <w:szCs w:val="18"/>
        </w:rPr>
        <w:t>available on vendor Web sites</w:t>
      </w:r>
      <w:r w:rsidR="0037406A" w:rsidRPr="00E02EE9">
        <w:rPr>
          <w:sz w:val="18"/>
          <w:szCs w:val="18"/>
        </w:rPr>
        <w:t xml:space="preserve"> for Enterprise Edition</w:t>
      </w:r>
      <w:r w:rsidRPr="00E02EE9">
        <w:rPr>
          <w:sz w:val="18"/>
          <w:szCs w:val="18"/>
        </w:rPr>
        <w:t>.</w:t>
      </w:r>
    </w:p>
    <w:p w:rsidR="00820E32" w:rsidRDefault="00B53DBF" w:rsidP="0032463F">
      <w:pPr>
        <w:pStyle w:val="Heading4"/>
      </w:pPr>
      <w:bookmarkStart w:id="10" w:name="_Toc178405162"/>
      <w:r>
        <w:t>User Licensing</w:t>
      </w:r>
      <w:bookmarkEnd w:id="10"/>
    </w:p>
    <w:p w:rsidR="00B53DBF" w:rsidRDefault="00B53DBF" w:rsidP="00196400">
      <w:pPr>
        <w:pStyle w:val="BulletedList1"/>
        <w:numPr>
          <w:ilvl w:val="0"/>
          <w:numId w:val="0"/>
        </w:numPr>
      </w:pPr>
      <w:r w:rsidRPr="00CB6272">
        <w:t xml:space="preserve">This </w:t>
      </w:r>
      <w:r>
        <w:t>section</w:t>
      </w:r>
      <w:r w:rsidRPr="00CB6272">
        <w:t xml:space="preserve"> </w:t>
      </w:r>
      <w:r>
        <w:t xml:space="preserve">compares </w:t>
      </w:r>
      <w:r w:rsidR="00FD2805">
        <w:t>u</w:t>
      </w:r>
      <w:r>
        <w:t xml:space="preserve">ser </w:t>
      </w:r>
      <w:r w:rsidR="00FD2805">
        <w:t xml:space="preserve">licensing </w:t>
      </w:r>
      <w:r>
        <w:t>among SQL Server</w:t>
      </w:r>
      <w:r w:rsidR="00FD2805">
        <w:t> </w:t>
      </w:r>
      <w:r>
        <w:t>2005, Oracle</w:t>
      </w:r>
      <w:r w:rsidR="00FD2805">
        <w:t> </w:t>
      </w:r>
      <w:r>
        <w:t>11g, and IBM DB2</w:t>
      </w:r>
      <w:r w:rsidR="00FD2805">
        <w:t> </w:t>
      </w:r>
      <w:r>
        <w:t>9</w:t>
      </w:r>
      <w:r w:rsidR="004F3560">
        <w:t xml:space="preserve">. </w:t>
      </w:r>
    </w:p>
    <w:p w:rsidR="00B53DBF" w:rsidRPr="00D66DAC" w:rsidRDefault="00B53DBF" w:rsidP="00196400">
      <w:pPr>
        <w:pStyle w:val="BulletedList1"/>
        <w:numPr>
          <w:ilvl w:val="0"/>
          <w:numId w:val="0"/>
        </w:numPr>
        <w:rPr>
          <w:bCs/>
        </w:rPr>
      </w:pPr>
      <w:r w:rsidRPr="00B257FC">
        <w:t xml:space="preserve">Microsoft employs a </w:t>
      </w:r>
      <w:r w:rsidRPr="00B257FC">
        <w:rPr>
          <w:b/>
        </w:rPr>
        <w:t xml:space="preserve">Server </w:t>
      </w:r>
      <w:r w:rsidR="001C1F03">
        <w:rPr>
          <w:b/>
        </w:rPr>
        <w:t>p</w:t>
      </w:r>
      <w:r w:rsidR="001C1F03" w:rsidRPr="00B257FC">
        <w:rPr>
          <w:b/>
        </w:rPr>
        <w:t xml:space="preserve">lus </w:t>
      </w:r>
      <w:r w:rsidRPr="00B257FC">
        <w:rPr>
          <w:b/>
        </w:rPr>
        <w:t>User CAL</w:t>
      </w:r>
      <w:r w:rsidR="001C1F03">
        <w:rPr>
          <w:b/>
        </w:rPr>
        <w:t>s</w:t>
      </w:r>
      <w:r w:rsidRPr="00B257FC">
        <w:rPr>
          <w:b/>
        </w:rPr>
        <w:t xml:space="preserve"> (Client Access License</w:t>
      </w:r>
      <w:r w:rsidR="001C1F03">
        <w:rPr>
          <w:b/>
        </w:rPr>
        <w:t>s</w:t>
      </w:r>
      <w:r w:rsidRPr="00B257FC">
        <w:rPr>
          <w:b/>
        </w:rPr>
        <w:t>) Licensing Model</w:t>
      </w:r>
      <w:r w:rsidR="004F3560">
        <w:rPr>
          <w:b/>
        </w:rPr>
        <w:t xml:space="preserve">. </w:t>
      </w:r>
      <w:r w:rsidRPr="00B257FC">
        <w:t xml:space="preserve">This </w:t>
      </w:r>
      <w:r>
        <w:t xml:space="preserve">licensing model states </w:t>
      </w:r>
      <w:r w:rsidRPr="00B257FC">
        <w:t>that a Server license</w:t>
      </w:r>
      <w:r w:rsidRPr="00B257FC">
        <w:rPr>
          <w:bCs/>
        </w:rPr>
        <w:t xml:space="preserve"> is</w:t>
      </w:r>
      <w:r w:rsidRPr="00D66DAC">
        <w:rPr>
          <w:bCs/>
        </w:rPr>
        <w:t xml:space="preserve"> required for each operating system environment </w:t>
      </w:r>
      <w:r w:rsidR="00FD2805">
        <w:rPr>
          <w:bCs/>
        </w:rPr>
        <w:t>that runs</w:t>
      </w:r>
      <w:r w:rsidR="00FD2805" w:rsidRPr="00D66DAC">
        <w:rPr>
          <w:bCs/>
        </w:rPr>
        <w:t xml:space="preserve"> </w:t>
      </w:r>
      <w:r w:rsidRPr="00D66DAC">
        <w:rPr>
          <w:bCs/>
        </w:rPr>
        <w:t>an instance of SQL</w:t>
      </w:r>
      <w:r w:rsidR="00FD2805">
        <w:rPr>
          <w:bCs/>
        </w:rPr>
        <w:t> </w:t>
      </w:r>
      <w:r w:rsidRPr="00D66DAC">
        <w:rPr>
          <w:bCs/>
        </w:rPr>
        <w:t>Server, as well as a CAL for each user who accesses a system running SQL</w:t>
      </w:r>
      <w:r w:rsidR="00FD2805">
        <w:rPr>
          <w:bCs/>
        </w:rPr>
        <w:t> </w:t>
      </w:r>
      <w:r w:rsidRPr="00D66DAC">
        <w:rPr>
          <w:bCs/>
        </w:rPr>
        <w:t xml:space="preserve">Server. </w:t>
      </w:r>
      <w:r>
        <w:rPr>
          <w:bCs/>
        </w:rPr>
        <w:t xml:space="preserve">A </w:t>
      </w:r>
      <w:r w:rsidRPr="00D66DAC">
        <w:rPr>
          <w:bCs/>
        </w:rPr>
        <w:t xml:space="preserve">Server </w:t>
      </w:r>
      <w:r w:rsidR="001C1F03">
        <w:rPr>
          <w:bCs/>
        </w:rPr>
        <w:t>p</w:t>
      </w:r>
      <w:r w:rsidRPr="00D66DAC">
        <w:rPr>
          <w:bCs/>
        </w:rPr>
        <w:t xml:space="preserve">lus </w:t>
      </w:r>
      <w:r w:rsidR="001C1F03">
        <w:rPr>
          <w:bCs/>
        </w:rPr>
        <w:t>u</w:t>
      </w:r>
      <w:r w:rsidRPr="00D66DAC">
        <w:rPr>
          <w:bCs/>
        </w:rPr>
        <w:t xml:space="preserve">ser </w:t>
      </w:r>
      <w:r w:rsidR="001C1F03">
        <w:rPr>
          <w:bCs/>
        </w:rPr>
        <w:t>C</w:t>
      </w:r>
      <w:r w:rsidRPr="00D66DAC">
        <w:rPr>
          <w:bCs/>
        </w:rPr>
        <w:t xml:space="preserve">lient </w:t>
      </w:r>
      <w:r w:rsidR="001C1F03">
        <w:rPr>
          <w:bCs/>
        </w:rPr>
        <w:t>A</w:t>
      </w:r>
      <w:r w:rsidRPr="00D66DAC">
        <w:rPr>
          <w:bCs/>
        </w:rPr>
        <w:t xml:space="preserve">ccess </w:t>
      </w:r>
      <w:r w:rsidR="001C1F03">
        <w:rPr>
          <w:bCs/>
        </w:rPr>
        <w:t>L</w:t>
      </w:r>
      <w:r w:rsidRPr="00D66DAC">
        <w:rPr>
          <w:bCs/>
        </w:rPr>
        <w:t xml:space="preserve">icense (CAL) </w:t>
      </w:r>
      <w:r w:rsidR="00FD2805" w:rsidRPr="00D66DAC">
        <w:rPr>
          <w:bCs/>
        </w:rPr>
        <w:t>licens</w:t>
      </w:r>
      <w:r w:rsidR="00FD2805">
        <w:rPr>
          <w:bCs/>
        </w:rPr>
        <w:t>e</w:t>
      </w:r>
      <w:r w:rsidR="00FD2805" w:rsidRPr="00D66DAC">
        <w:rPr>
          <w:bCs/>
        </w:rPr>
        <w:t xml:space="preserve"> </w:t>
      </w:r>
      <w:r w:rsidRPr="00D66DAC">
        <w:rPr>
          <w:bCs/>
        </w:rPr>
        <w:t xml:space="preserve">requires a separate </w:t>
      </w:r>
      <w:r w:rsidR="001C1F03">
        <w:rPr>
          <w:bCs/>
        </w:rPr>
        <w:t>s</w:t>
      </w:r>
      <w:r w:rsidRPr="00D66DAC">
        <w:rPr>
          <w:bCs/>
        </w:rPr>
        <w:t xml:space="preserve">erver license for each server on which the software is installed, plus a user CAL for each user accessing the server. </w:t>
      </w:r>
      <w:r w:rsidR="003F3A4B">
        <w:rPr>
          <w:bCs/>
        </w:rPr>
        <w:t xml:space="preserve">Users only pay </w:t>
      </w:r>
      <w:r w:rsidR="001C1F03">
        <w:rPr>
          <w:bCs/>
        </w:rPr>
        <w:t xml:space="preserve">the </w:t>
      </w:r>
      <w:r w:rsidR="003F3A4B">
        <w:rPr>
          <w:bCs/>
        </w:rPr>
        <w:t>Server CAL once to access multiple servers for the entire organization.</w:t>
      </w:r>
    </w:p>
    <w:p w:rsidR="00B53DBF" w:rsidRPr="00D66DAC" w:rsidRDefault="00B53DBF" w:rsidP="00196400">
      <w:pPr>
        <w:pStyle w:val="BulletedList1"/>
        <w:numPr>
          <w:ilvl w:val="0"/>
          <w:numId w:val="0"/>
        </w:numPr>
      </w:pPr>
      <w:r w:rsidRPr="00B257FC">
        <w:t xml:space="preserve">Oracle employs a </w:t>
      </w:r>
      <w:r w:rsidRPr="00B257FC">
        <w:rPr>
          <w:b/>
        </w:rPr>
        <w:t>Named User Plus Licensing Model</w:t>
      </w:r>
      <w:r w:rsidR="004F3560">
        <w:t xml:space="preserve">. </w:t>
      </w:r>
      <w:r w:rsidRPr="00B257FC">
        <w:t>This licensing model states that a</w:t>
      </w:r>
      <w:r>
        <w:rPr>
          <w:bCs/>
        </w:rPr>
        <w:t xml:space="preserve"> </w:t>
      </w:r>
      <w:r w:rsidRPr="00D66DAC">
        <w:rPr>
          <w:bCs/>
        </w:rPr>
        <w:t>Named User Plus</w:t>
      </w:r>
      <w:r w:rsidRPr="00D66DAC">
        <w:t xml:space="preserve"> </w:t>
      </w:r>
      <w:r>
        <w:t xml:space="preserve">license </w:t>
      </w:r>
      <w:r w:rsidRPr="00D66DAC">
        <w:t xml:space="preserve">is </w:t>
      </w:r>
      <w:r>
        <w:t>required per user</w:t>
      </w:r>
      <w:r w:rsidRPr="00D66DAC">
        <w:t xml:space="preserve"> to </w:t>
      </w:r>
      <w:r>
        <w:t xml:space="preserve">access an instance of 11g </w:t>
      </w:r>
      <w:r w:rsidRPr="00D66DAC">
        <w:t>installed on a single server or multiple servers</w:t>
      </w:r>
      <w:r w:rsidR="004F3560">
        <w:t xml:space="preserve">. </w:t>
      </w:r>
      <w:r w:rsidR="003F3A4B">
        <w:t xml:space="preserve">Users </w:t>
      </w:r>
      <w:r w:rsidR="001C1F03">
        <w:t xml:space="preserve">must </w:t>
      </w:r>
      <w:r w:rsidR="00FD2805">
        <w:t xml:space="preserve">purchase a </w:t>
      </w:r>
      <w:r w:rsidR="003F3A4B">
        <w:t xml:space="preserve">Name User Plus license for every server in the organization that uses </w:t>
      </w:r>
      <w:r w:rsidR="00FD2805">
        <w:t xml:space="preserve">an </w:t>
      </w:r>
      <w:r w:rsidR="003F3A4B">
        <w:t xml:space="preserve">Oracle Database instance. </w:t>
      </w:r>
      <w:r w:rsidRPr="00D66DAC">
        <w:t>Oracle Database Enterprise Edition for Intel or AMD systems</w:t>
      </w:r>
      <w:r>
        <w:t xml:space="preserve"> require</w:t>
      </w:r>
      <w:r w:rsidR="003F3A4B">
        <w:t>s</w:t>
      </w:r>
      <w:r w:rsidRPr="00D66DAC">
        <w:t xml:space="preserve"> a minimum of 25</w:t>
      </w:r>
      <w:r w:rsidR="00FD2805">
        <w:t> </w:t>
      </w:r>
      <w:r w:rsidRPr="00D66DAC">
        <w:t xml:space="preserve">Named Users Plus per Processor. </w:t>
      </w:r>
    </w:p>
    <w:p w:rsidR="00B53DBF" w:rsidRPr="00B257FC" w:rsidRDefault="00B53DBF" w:rsidP="00196400">
      <w:pPr>
        <w:pStyle w:val="BulletedList1"/>
        <w:numPr>
          <w:ilvl w:val="0"/>
          <w:numId w:val="0"/>
        </w:numPr>
        <w:rPr>
          <w:b/>
        </w:rPr>
      </w:pPr>
      <w:r w:rsidRPr="00B257FC">
        <w:t xml:space="preserve">IBM </w:t>
      </w:r>
      <w:r w:rsidR="00A1143E" w:rsidRPr="00B257FC">
        <w:t>employees</w:t>
      </w:r>
      <w:r w:rsidRPr="00B257FC">
        <w:t xml:space="preserve"> an </w:t>
      </w:r>
      <w:r w:rsidRPr="00B257FC">
        <w:rPr>
          <w:b/>
        </w:rPr>
        <w:t>Authorized User Licensing Model</w:t>
      </w:r>
      <w:r w:rsidR="004F3560">
        <w:t xml:space="preserve">. </w:t>
      </w:r>
      <w:r w:rsidRPr="00B257FC">
        <w:t>This licensing model states that an</w:t>
      </w:r>
      <w:r>
        <w:t xml:space="preserve"> Authorized U</w:t>
      </w:r>
      <w:r w:rsidRPr="00D66DAC">
        <w:t xml:space="preserve">ser </w:t>
      </w:r>
      <w:r>
        <w:t xml:space="preserve">license is required </w:t>
      </w:r>
      <w:r w:rsidR="001C1F03">
        <w:t xml:space="preserve">for each </w:t>
      </w:r>
      <w:r>
        <w:t xml:space="preserve">user </w:t>
      </w:r>
      <w:r w:rsidR="00FD2805">
        <w:t xml:space="preserve">who </w:t>
      </w:r>
      <w:r>
        <w:t>access</w:t>
      </w:r>
      <w:r w:rsidR="00FD2805">
        <w:t>es</w:t>
      </w:r>
      <w:r>
        <w:t xml:space="preserve"> an instance of DB2 installed on a single server or multiple servers.</w:t>
      </w:r>
      <w:r w:rsidRPr="00D66DAC">
        <w:t xml:space="preserve"> DB2 Enterprise has a minimum </w:t>
      </w:r>
      <w:r>
        <w:t>of 25</w:t>
      </w:r>
      <w:r w:rsidR="00FD2805">
        <w:t> </w:t>
      </w:r>
      <w:r w:rsidRPr="00D66DAC">
        <w:t>authorized users that must be licensed</w:t>
      </w:r>
      <w:r>
        <w:t xml:space="preserve"> for every 100</w:t>
      </w:r>
      <w:r w:rsidR="00FD2805">
        <w:t> </w:t>
      </w:r>
      <w:r w:rsidRPr="00D66DAC">
        <w:t xml:space="preserve">PVUs for which your server is rated. </w:t>
      </w:r>
    </w:p>
    <w:p w:rsidR="00B53DBF" w:rsidRDefault="00FD2805" w:rsidP="00196400">
      <w:pPr>
        <w:pStyle w:val="BulletedList1"/>
        <w:numPr>
          <w:ilvl w:val="0"/>
          <w:numId w:val="0"/>
        </w:numPr>
        <w:rPr>
          <w:b/>
          <w:i/>
        </w:rPr>
      </w:pPr>
      <w:r>
        <w:t>Following</w:t>
      </w:r>
      <w:r w:rsidR="00B53DBF">
        <w:t xml:space="preserve"> are two scenarios that compare the pricing among each vendor for User Licensing.</w:t>
      </w:r>
    </w:p>
    <w:p w:rsidR="00B53DBF" w:rsidRPr="00196400" w:rsidRDefault="00B53DBF" w:rsidP="00F53F10">
      <w:pPr>
        <w:pStyle w:val="Heading9"/>
      </w:pPr>
      <w:r w:rsidRPr="00196400">
        <w:t xml:space="preserve">Scenario 1: Price </w:t>
      </w:r>
      <w:r w:rsidR="00FD2805">
        <w:t>c</w:t>
      </w:r>
      <w:r w:rsidRPr="00196400">
        <w:t xml:space="preserve">omparison for </w:t>
      </w:r>
      <w:r w:rsidR="00FD2805">
        <w:t>a s</w:t>
      </w:r>
      <w:r w:rsidRPr="00196400">
        <w:t>ingle server</w:t>
      </w:r>
    </w:p>
    <w:p w:rsidR="00B53DBF" w:rsidRDefault="00B53DBF" w:rsidP="00196400">
      <w:pPr>
        <w:pStyle w:val="BulletedList1"/>
        <w:numPr>
          <w:ilvl w:val="0"/>
          <w:numId w:val="0"/>
        </w:numPr>
      </w:pPr>
      <w:r>
        <w:t xml:space="preserve">The following </w:t>
      </w:r>
      <w:r w:rsidR="00F53F10">
        <w:t xml:space="preserve">graph </w:t>
      </w:r>
      <w:r w:rsidR="00D65FDC">
        <w:t xml:space="preserve">compares prices </w:t>
      </w:r>
      <w:r>
        <w:t>based on a</w:t>
      </w:r>
      <w:r w:rsidRPr="00D66DAC">
        <w:t xml:space="preserve"> database application with </w:t>
      </w:r>
      <w:r w:rsidR="00FD2805">
        <w:t>two</w:t>
      </w:r>
      <w:r w:rsidRPr="00D66DAC">
        <w:t xml:space="preserve"> processors of </w:t>
      </w:r>
      <w:r w:rsidR="00F53F10">
        <w:t xml:space="preserve">a </w:t>
      </w:r>
      <w:r w:rsidRPr="00D66DAC">
        <w:t>dual-core server (4</w:t>
      </w:r>
      <w:r w:rsidR="00FD2805">
        <w:t> </w:t>
      </w:r>
      <w:r w:rsidRPr="00D66DAC">
        <w:t>cores</w:t>
      </w:r>
      <w:r w:rsidR="00FD2805">
        <w:t> </w:t>
      </w:r>
      <w:r w:rsidRPr="00D66DAC">
        <w:t>x</w:t>
      </w:r>
      <w:r w:rsidR="00FD2805">
        <w:t> </w:t>
      </w:r>
      <w:r w:rsidRPr="00D66DAC">
        <w:t>50</w:t>
      </w:r>
      <w:r w:rsidR="00FD2805">
        <w:t> </w:t>
      </w:r>
      <w:r w:rsidRPr="00D66DAC">
        <w:t>PVUs / core</w:t>
      </w:r>
      <w:r w:rsidR="00FD2805">
        <w:t> </w:t>
      </w:r>
      <w:r w:rsidRPr="00D66DAC">
        <w:t>=</w:t>
      </w:r>
      <w:r w:rsidR="00FD2805">
        <w:t> </w:t>
      </w:r>
      <w:r w:rsidRPr="00D66DAC">
        <w:t>200</w:t>
      </w:r>
      <w:r w:rsidR="00FD2805">
        <w:t> </w:t>
      </w:r>
      <w:r w:rsidRPr="00D66DAC">
        <w:t>PVUs) and 25</w:t>
      </w:r>
      <w:r w:rsidR="00FD2805">
        <w:t> </w:t>
      </w:r>
      <w:r w:rsidRPr="00D66DAC">
        <w:t>heavy-usage users</w:t>
      </w:r>
      <w:r>
        <w:t>.</w:t>
      </w:r>
    </w:p>
    <w:p w:rsidR="00B53DBF" w:rsidRDefault="00422132" w:rsidP="00422132">
      <w:pPr>
        <w:pStyle w:val="Figure"/>
      </w:pPr>
      <w:r>
        <w:rPr>
          <w:noProof/>
        </w:rPr>
        <w:lastRenderedPageBreak/>
        <w:drawing>
          <wp:inline distT="0" distB="0" distL="0" distR="0">
            <wp:extent cx="3962400" cy="2286000"/>
            <wp:effectExtent l="19050" t="0" r="0" b="0"/>
            <wp:docPr id="13" name="Picture 12" descr="DBPricing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PricingFig3.jpg"/>
                    <pic:cNvPicPr/>
                  </pic:nvPicPr>
                  <pic:blipFill>
                    <a:blip r:embed="rId17"/>
                    <a:stretch>
                      <a:fillRect/>
                    </a:stretch>
                  </pic:blipFill>
                  <pic:spPr>
                    <a:xfrm>
                      <a:off x="0" y="0"/>
                      <a:ext cx="3962400" cy="2286000"/>
                    </a:xfrm>
                    <a:prstGeom prst="rect">
                      <a:avLst/>
                    </a:prstGeom>
                  </pic:spPr>
                </pic:pic>
              </a:graphicData>
            </a:graphic>
          </wp:inline>
        </w:drawing>
      </w:r>
    </w:p>
    <w:p w:rsidR="00B53DBF" w:rsidRPr="001C1F03" w:rsidRDefault="00B53DBF" w:rsidP="00D65FDC">
      <w:pPr>
        <w:pStyle w:val="AlertText"/>
        <w:rPr>
          <w:sz w:val="18"/>
          <w:szCs w:val="18"/>
        </w:rPr>
      </w:pPr>
      <w:r w:rsidRPr="001C1F03">
        <w:rPr>
          <w:b/>
          <w:bCs/>
          <w:sz w:val="18"/>
          <w:szCs w:val="18"/>
        </w:rPr>
        <w:t>Note</w:t>
      </w:r>
      <w:r w:rsidR="00F53F10" w:rsidRPr="001C1F03">
        <w:rPr>
          <w:sz w:val="18"/>
          <w:szCs w:val="18"/>
        </w:rPr>
        <w:t>   </w:t>
      </w:r>
      <w:r w:rsidRPr="001C1F03">
        <w:rPr>
          <w:sz w:val="18"/>
          <w:szCs w:val="18"/>
        </w:rPr>
        <w:t xml:space="preserve">All prices are per processor and reflect pricing for purchases within the United States and are in United States dollars. Pricing </w:t>
      </w:r>
      <w:r w:rsidR="00F53F10" w:rsidRPr="001C1F03">
        <w:rPr>
          <w:sz w:val="18"/>
          <w:szCs w:val="18"/>
        </w:rPr>
        <w:t xml:space="preserve">is </w:t>
      </w:r>
      <w:r w:rsidRPr="001C1F03">
        <w:rPr>
          <w:sz w:val="18"/>
          <w:szCs w:val="18"/>
        </w:rPr>
        <w:t>based on information available on vendor Web sites.</w:t>
      </w:r>
    </w:p>
    <w:p w:rsidR="00B53DBF" w:rsidRPr="00B53DBF" w:rsidRDefault="00B53DBF" w:rsidP="00B53DBF">
      <w:pPr>
        <w:pStyle w:val="BulletedList1"/>
      </w:pPr>
      <w:r w:rsidRPr="001C1F03">
        <w:rPr>
          <w:b/>
        </w:rPr>
        <w:t>Microsoft SQL Server 2005 Enterprise Edition</w:t>
      </w:r>
      <w:r w:rsidR="001C1F03">
        <w:br/>
      </w:r>
      <w:r w:rsidRPr="00B53DBF">
        <w:t>25 users (CALs) x $162 / CAL</w:t>
      </w:r>
      <w:r w:rsidR="00F53F10">
        <w:t> </w:t>
      </w:r>
      <w:r w:rsidRPr="00B53DBF">
        <w:t>+</w:t>
      </w:r>
      <w:r w:rsidR="00F53F10">
        <w:t> </w:t>
      </w:r>
      <w:r w:rsidRPr="00B53DBF">
        <w:t xml:space="preserve">$8,487 / Server = </w:t>
      </w:r>
      <w:r w:rsidRPr="001C1F03">
        <w:rPr>
          <w:b/>
        </w:rPr>
        <w:t>$12,537</w:t>
      </w:r>
    </w:p>
    <w:p w:rsidR="00B53DBF" w:rsidRPr="00B53DBF" w:rsidRDefault="00B53DBF" w:rsidP="001C1F03">
      <w:pPr>
        <w:pStyle w:val="BulletedList1"/>
      </w:pPr>
      <w:r w:rsidRPr="00B53DBF">
        <w:rPr>
          <w:b/>
        </w:rPr>
        <w:t>Oracle 11g Enterprise Edition (base license without options)</w:t>
      </w:r>
      <w:r w:rsidR="001C1F03">
        <w:rPr>
          <w:b/>
        </w:rPr>
        <w:br/>
      </w:r>
      <w:r w:rsidRPr="00B53DBF">
        <w:t>Named User Plus minimum (25 Named Users Plus per Core) = 25</w:t>
      </w:r>
      <w:r w:rsidR="00F53F10">
        <w:t> </w:t>
      </w:r>
      <w:r w:rsidRPr="00B53DBF">
        <w:t>x</w:t>
      </w:r>
      <w:r w:rsidR="00F53F10">
        <w:t> </w:t>
      </w:r>
      <w:r w:rsidRPr="00B53DBF">
        <w:t>4 = 100</w:t>
      </w:r>
      <w:r w:rsidR="00F53F10">
        <w:t> </w:t>
      </w:r>
      <w:r w:rsidRPr="00B53DBF">
        <w:t xml:space="preserve">Named Users Plus x $800 / Named Users Plus = </w:t>
      </w:r>
      <w:r w:rsidRPr="00B53DBF">
        <w:rPr>
          <w:b/>
        </w:rPr>
        <w:t>$80,000</w:t>
      </w:r>
    </w:p>
    <w:p w:rsidR="00B53DBF" w:rsidRPr="00B53DBF" w:rsidRDefault="00B53DBF" w:rsidP="001C1F03">
      <w:pPr>
        <w:pStyle w:val="BulletedList1"/>
        <w:rPr>
          <w:b/>
        </w:rPr>
      </w:pPr>
      <w:r w:rsidRPr="00B53DBF">
        <w:rPr>
          <w:b/>
        </w:rPr>
        <w:t>IBM DB2 Enterprise Edition (base license without options)</w:t>
      </w:r>
      <w:r w:rsidR="001C1F03">
        <w:rPr>
          <w:b/>
        </w:rPr>
        <w:br/>
      </w:r>
      <w:r w:rsidRPr="00B53DBF">
        <w:t>Authorized User minimum (25</w:t>
      </w:r>
      <w:r w:rsidR="00F53F10">
        <w:t> </w:t>
      </w:r>
      <w:r w:rsidRPr="00B53DBF">
        <w:t>Authorized Users per 100</w:t>
      </w:r>
      <w:r w:rsidR="00F53F10">
        <w:t> </w:t>
      </w:r>
      <w:r w:rsidRPr="00B53DBF">
        <w:t>PVUs) =</w:t>
      </w:r>
      <w:r w:rsidR="00F53F10">
        <w:t> </w:t>
      </w:r>
      <w:r w:rsidRPr="00B53DBF">
        <w:t>25</w:t>
      </w:r>
      <w:r w:rsidR="00F53F10">
        <w:t> </w:t>
      </w:r>
      <w:r w:rsidRPr="00B53DBF">
        <w:t>x</w:t>
      </w:r>
      <w:r w:rsidR="00F53F10">
        <w:t> </w:t>
      </w:r>
      <w:r w:rsidRPr="00B53DBF">
        <w:t>2 =</w:t>
      </w:r>
      <w:r w:rsidR="00F53F10">
        <w:t xml:space="preserve"> </w:t>
      </w:r>
      <w:r w:rsidRPr="00B53DBF">
        <w:t>50</w:t>
      </w:r>
      <w:r w:rsidR="00F53F10">
        <w:t xml:space="preserve"> </w:t>
      </w:r>
      <w:r w:rsidRPr="00B53DBF">
        <w:t>Authorized Users</w:t>
      </w:r>
      <w:r w:rsidR="00F53F10">
        <w:t> </w:t>
      </w:r>
      <w:r w:rsidRPr="00B53DBF">
        <w:t>x</w:t>
      </w:r>
      <w:r w:rsidR="00F53F10">
        <w:t> </w:t>
      </w:r>
      <w:r w:rsidRPr="00B53DBF">
        <w:t xml:space="preserve">$938 / Authorized Users = </w:t>
      </w:r>
      <w:r w:rsidRPr="00B53DBF">
        <w:rPr>
          <w:b/>
        </w:rPr>
        <w:t>$46,900</w:t>
      </w:r>
    </w:p>
    <w:p w:rsidR="00F53F10" w:rsidRPr="00196400" w:rsidRDefault="00F53F10" w:rsidP="00F53F10">
      <w:pPr>
        <w:pStyle w:val="Heading9"/>
      </w:pPr>
      <w:r w:rsidRPr="00196400">
        <w:t xml:space="preserve">Scenario </w:t>
      </w:r>
      <w:r>
        <w:t>2</w:t>
      </w:r>
      <w:r w:rsidRPr="00196400">
        <w:t xml:space="preserve">: Price </w:t>
      </w:r>
      <w:r>
        <w:t>c</w:t>
      </w:r>
      <w:r w:rsidRPr="00196400">
        <w:t xml:space="preserve">omparison for </w:t>
      </w:r>
      <w:r>
        <w:t>disaster recovery</w:t>
      </w:r>
    </w:p>
    <w:p w:rsidR="00B53DBF" w:rsidRPr="00B53DBF" w:rsidRDefault="00B53DBF" w:rsidP="00B53DBF">
      <w:pPr>
        <w:pStyle w:val="Text"/>
        <w:rPr>
          <w:b/>
          <w:i/>
        </w:rPr>
      </w:pPr>
      <w:r w:rsidRPr="00B53DBF">
        <w:t xml:space="preserve">The following </w:t>
      </w:r>
      <w:r w:rsidR="00F53F10">
        <w:t xml:space="preserve">graph </w:t>
      </w:r>
      <w:r w:rsidR="00D65FDC">
        <w:t xml:space="preserve">compares </w:t>
      </w:r>
      <w:r w:rsidRPr="00B53DBF">
        <w:t>price</w:t>
      </w:r>
      <w:r w:rsidR="00D65FDC">
        <w:t>s</w:t>
      </w:r>
      <w:r w:rsidRPr="00B53DBF">
        <w:t xml:space="preserve"> based on a scenario using multiple servers</w:t>
      </w:r>
      <w:r w:rsidR="004F3560">
        <w:t xml:space="preserve">. </w:t>
      </w:r>
      <w:r w:rsidRPr="00B53DBF">
        <w:t xml:space="preserve">This example includes a database application with two servers (primary and remote) with </w:t>
      </w:r>
      <w:r w:rsidR="00D65FDC">
        <w:t>two</w:t>
      </w:r>
      <w:r w:rsidRPr="00B53DBF">
        <w:t xml:space="preserve"> processors dual-core (8</w:t>
      </w:r>
      <w:r w:rsidR="00D65FDC">
        <w:t> </w:t>
      </w:r>
      <w:r w:rsidRPr="00B53DBF">
        <w:t>cores x 50</w:t>
      </w:r>
      <w:r w:rsidR="00D65FDC">
        <w:t> </w:t>
      </w:r>
      <w:r w:rsidRPr="00B53DBF">
        <w:t>PVUs / core = 400</w:t>
      </w:r>
      <w:r w:rsidR="00D65FDC">
        <w:t> </w:t>
      </w:r>
      <w:r w:rsidRPr="00B53DBF">
        <w:t>PVUs) and 25</w:t>
      </w:r>
      <w:r w:rsidR="00D65FDC">
        <w:t> </w:t>
      </w:r>
      <w:r w:rsidRPr="00B53DBF">
        <w:t>heavy-usage users.</w:t>
      </w:r>
    </w:p>
    <w:p w:rsidR="00B53DBF" w:rsidRPr="00B53DBF" w:rsidRDefault="00422132" w:rsidP="00422132">
      <w:pPr>
        <w:pStyle w:val="Figure"/>
      </w:pPr>
      <w:r>
        <w:rPr>
          <w:noProof/>
        </w:rPr>
        <w:drawing>
          <wp:inline distT="0" distB="0" distL="0" distR="0">
            <wp:extent cx="4143375" cy="2466975"/>
            <wp:effectExtent l="19050" t="0" r="9525" b="0"/>
            <wp:docPr id="14" name="Picture 13" descr="DBPricing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PricingFig4.jpg"/>
                    <pic:cNvPicPr/>
                  </pic:nvPicPr>
                  <pic:blipFill>
                    <a:blip r:embed="rId18"/>
                    <a:stretch>
                      <a:fillRect/>
                    </a:stretch>
                  </pic:blipFill>
                  <pic:spPr>
                    <a:xfrm>
                      <a:off x="0" y="0"/>
                      <a:ext cx="4143375" cy="2466975"/>
                    </a:xfrm>
                    <a:prstGeom prst="rect">
                      <a:avLst/>
                    </a:prstGeom>
                  </pic:spPr>
                </pic:pic>
              </a:graphicData>
            </a:graphic>
          </wp:inline>
        </w:drawing>
      </w:r>
    </w:p>
    <w:p w:rsidR="00B53DBF" w:rsidRPr="001C1F03" w:rsidRDefault="00B53DBF" w:rsidP="00D65FDC">
      <w:pPr>
        <w:pStyle w:val="AlertText"/>
        <w:rPr>
          <w:b/>
          <w:sz w:val="18"/>
          <w:szCs w:val="18"/>
        </w:rPr>
      </w:pPr>
      <w:r w:rsidRPr="001C1F03">
        <w:rPr>
          <w:b/>
          <w:bCs/>
          <w:sz w:val="18"/>
          <w:szCs w:val="18"/>
        </w:rPr>
        <w:lastRenderedPageBreak/>
        <w:t>Note</w:t>
      </w:r>
      <w:r w:rsidR="00C64A0A" w:rsidRPr="001C1F03">
        <w:rPr>
          <w:b/>
          <w:bCs/>
          <w:sz w:val="18"/>
          <w:szCs w:val="18"/>
        </w:rPr>
        <w:t>   </w:t>
      </w:r>
      <w:r w:rsidRPr="001C1F03">
        <w:rPr>
          <w:sz w:val="18"/>
          <w:szCs w:val="18"/>
        </w:rPr>
        <w:t xml:space="preserve">All prices are per processor and reflect pricing for purchases within the United States and are in United States dollars. Pricing </w:t>
      </w:r>
      <w:r w:rsidR="00D65FDC" w:rsidRPr="001C1F03">
        <w:rPr>
          <w:sz w:val="18"/>
          <w:szCs w:val="18"/>
        </w:rPr>
        <w:t xml:space="preserve">is </w:t>
      </w:r>
      <w:r w:rsidRPr="001C1F03">
        <w:rPr>
          <w:sz w:val="18"/>
          <w:szCs w:val="18"/>
        </w:rPr>
        <w:t>based on information available on vendor Web sites.</w:t>
      </w:r>
    </w:p>
    <w:p w:rsidR="00B53DBF" w:rsidRPr="00B53DBF" w:rsidRDefault="00B53DBF" w:rsidP="001C1F03">
      <w:pPr>
        <w:pStyle w:val="BulletedList1"/>
      </w:pPr>
      <w:r w:rsidRPr="00B53DBF">
        <w:rPr>
          <w:b/>
        </w:rPr>
        <w:t>Microsoft SQL Server 2005 Enterprise Edition</w:t>
      </w:r>
      <w:r w:rsidR="001C1F03">
        <w:rPr>
          <w:b/>
        </w:rPr>
        <w:br/>
      </w:r>
      <w:r w:rsidRPr="00B53DBF">
        <w:t xml:space="preserve">25 users (CALs) x $162 / CAL + $8,487 / Server = </w:t>
      </w:r>
      <w:r w:rsidRPr="00B53DBF">
        <w:rPr>
          <w:b/>
        </w:rPr>
        <w:t>$12,537.</w:t>
      </w:r>
      <w:r w:rsidRPr="00B53DBF">
        <w:t xml:space="preserve"> Remote mirroring server is considered standby server and requires no additional SQL Server license.</w:t>
      </w:r>
    </w:p>
    <w:p w:rsidR="00B53DBF" w:rsidRPr="00B53DBF" w:rsidRDefault="00B53DBF" w:rsidP="001C1F03">
      <w:pPr>
        <w:pStyle w:val="BulletedList1"/>
      </w:pPr>
      <w:r w:rsidRPr="00B53DBF">
        <w:rPr>
          <w:b/>
        </w:rPr>
        <w:t>Oracle 11g Enterprise Edition (base license without options)</w:t>
      </w:r>
      <w:r w:rsidR="001C1F03">
        <w:rPr>
          <w:b/>
        </w:rPr>
        <w:br/>
      </w:r>
      <w:r w:rsidRPr="00B53DBF">
        <w:t xml:space="preserve">Primary + Remote Mirroring Server: Named User Plus minimum (25 Named Users Plus per Processor) = 25 x 4 = 100 Named Users Plus x $800 / Named Users Plus * 2 servers = </w:t>
      </w:r>
      <w:r w:rsidRPr="00B53DBF">
        <w:rPr>
          <w:b/>
        </w:rPr>
        <w:t>$160,000</w:t>
      </w:r>
      <w:r w:rsidR="004F3560">
        <w:t xml:space="preserve">. </w:t>
      </w:r>
      <w:r w:rsidRPr="00B53DBF">
        <w:t>11g must be licensed at primary and remote site.</w:t>
      </w:r>
    </w:p>
    <w:p w:rsidR="00B53DBF" w:rsidRPr="00B53DBF" w:rsidRDefault="00B53DBF" w:rsidP="001C1F03">
      <w:pPr>
        <w:pStyle w:val="BulletedList1"/>
      </w:pPr>
      <w:r w:rsidRPr="00B53DBF">
        <w:rPr>
          <w:b/>
        </w:rPr>
        <w:t>IBM DB2 Enterprise Edition</w:t>
      </w:r>
      <w:r>
        <w:rPr>
          <w:b/>
        </w:rPr>
        <w:t xml:space="preserve"> </w:t>
      </w:r>
      <w:r w:rsidRPr="00B53DBF">
        <w:rPr>
          <w:b/>
        </w:rPr>
        <w:t>(base license without options)</w:t>
      </w:r>
      <w:r w:rsidR="001C1F03">
        <w:rPr>
          <w:b/>
        </w:rPr>
        <w:br/>
      </w:r>
      <w:r w:rsidRPr="00B53DBF">
        <w:t xml:space="preserve">Primary + Remote Server: Authorized User minimum (25 Authorized Users per 100 PVUs) = 50 Authorized Users x $938 / Authorized Users x 2 servers = </w:t>
      </w:r>
      <w:r w:rsidRPr="00B53DBF">
        <w:rPr>
          <w:b/>
        </w:rPr>
        <w:t>$93,800</w:t>
      </w:r>
    </w:p>
    <w:p w:rsidR="00820E32" w:rsidRDefault="00B53DBF" w:rsidP="0032463F">
      <w:pPr>
        <w:pStyle w:val="Heading4"/>
      </w:pPr>
      <w:bookmarkStart w:id="11" w:name="_Toc178405163"/>
      <w:r>
        <w:t>Virtualization</w:t>
      </w:r>
      <w:bookmarkEnd w:id="11"/>
    </w:p>
    <w:p w:rsidR="00B53DBF" w:rsidRPr="00B53DBF" w:rsidRDefault="00B53DBF" w:rsidP="00B53DBF">
      <w:pPr>
        <w:pStyle w:val="Text"/>
        <w:rPr>
          <w:bCs/>
        </w:rPr>
      </w:pPr>
      <w:r w:rsidRPr="00B132EF">
        <w:rPr>
          <w:bCs/>
          <w:i/>
        </w:rPr>
        <w:t>Virtualization</w:t>
      </w:r>
      <w:r w:rsidRPr="00B53DBF">
        <w:rPr>
          <w:bCs/>
        </w:rPr>
        <w:t xml:space="preserve"> is defined broadly as the running of software </w:t>
      </w:r>
      <w:r w:rsidR="00B132EF">
        <w:rPr>
          <w:bCs/>
        </w:rPr>
        <w:t>i</w:t>
      </w:r>
      <w:r w:rsidR="00B132EF" w:rsidRPr="00B53DBF">
        <w:rPr>
          <w:bCs/>
        </w:rPr>
        <w:t xml:space="preserve">n </w:t>
      </w:r>
      <w:r w:rsidRPr="00B53DBF">
        <w:rPr>
          <w:bCs/>
        </w:rPr>
        <w:t>a "virtual environment." A virtual environment exists when an operating system (OS) is emulated, or does not run directly on the physical hardware</w:t>
      </w:r>
      <w:r w:rsidR="004F3560">
        <w:rPr>
          <w:bCs/>
        </w:rPr>
        <w:t xml:space="preserve">. </w:t>
      </w:r>
      <w:r w:rsidRPr="00B53DBF">
        <w:rPr>
          <w:bCs/>
        </w:rPr>
        <w:t>When software is virtualized, one or several applications and their associated operating systems can run on one physical server inside their respective virtual environments. One benefit of a virtualized scenario is that multiple applications can run concurrently on a server with isolation at the OS level.</w:t>
      </w:r>
    </w:p>
    <w:p w:rsidR="00B53DBF" w:rsidRPr="00B53DBF" w:rsidRDefault="00ED02A6" w:rsidP="00B53DBF">
      <w:pPr>
        <w:pStyle w:val="Text"/>
        <w:rPr>
          <w:bCs/>
        </w:rPr>
      </w:pPr>
      <w:r>
        <w:rPr>
          <w:bCs/>
        </w:rPr>
        <w:t>Following</w:t>
      </w:r>
      <w:r w:rsidR="00B53DBF" w:rsidRPr="00B53DBF">
        <w:rPr>
          <w:bCs/>
        </w:rPr>
        <w:t xml:space="preserve"> are comparisons of how each vendor supports virtualization.</w:t>
      </w:r>
    </w:p>
    <w:p w:rsidR="00A203B2" w:rsidRDefault="00B53DBF" w:rsidP="001C1F03">
      <w:pPr>
        <w:pStyle w:val="BulletedList1"/>
      </w:pPr>
      <w:r w:rsidRPr="00B53DBF">
        <w:rPr>
          <w:b/>
        </w:rPr>
        <w:t xml:space="preserve">Microsoft SQL Server 2005 </w:t>
      </w:r>
      <w:r w:rsidR="001C1F03">
        <w:rPr>
          <w:b/>
        </w:rPr>
        <w:br/>
      </w:r>
      <w:r w:rsidRPr="00B53DBF">
        <w:t>When SQL Server 2005 runs inside a virtual operating environment, it requires at least one license per virtual operating environment. Several copies or instances of SQL Server</w:t>
      </w:r>
      <w:r w:rsidR="00ED02A6">
        <w:t> </w:t>
      </w:r>
      <w:r w:rsidRPr="00B53DBF">
        <w:t xml:space="preserve">2005 can run inside a </w:t>
      </w:r>
      <w:r w:rsidR="00744C58">
        <w:t xml:space="preserve">single </w:t>
      </w:r>
      <w:r w:rsidRPr="00B53DBF">
        <w:t>virtual operating environment.</w:t>
      </w:r>
      <w:r w:rsidR="00744C58">
        <w:t xml:space="preserve"> </w:t>
      </w:r>
      <w:r w:rsidR="00744C58" w:rsidRPr="00744C58">
        <w:t>For SQL</w:t>
      </w:r>
      <w:r w:rsidR="00ED02A6">
        <w:t> </w:t>
      </w:r>
      <w:r w:rsidR="00744C58" w:rsidRPr="00744C58">
        <w:t>Server Enterprise Edition</w:t>
      </w:r>
      <w:r w:rsidR="00744C58">
        <w:t>,</w:t>
      </w:r>
      <w:r w:rsidR="00744C58" w:rsidRPr="00744C58">
        <w:t xml:space="preserve"> if all processors in a machine </w:t>
      </w:r>
      <w:r w:rsidR="00ED02A6">
        <w:t>are</w:t>
      </w:r>
      <w:r w:rsidR="00744C58" w:rsidRPr="00744C58">
        <w:t xml:space="preserve"> licensed, the customer may run unlimited instances of SQL </w:t>
      </w:r>
      <w:r w:rsidR="00ED02A6">
        <w:t>S</w:t>
      </w:r>
      <w:r w:rsidR="00744C58" w:rsidRPr="00744C58">
        <w:t>erver</w:t>
      </w:r>
      <w:r w:rsidR="00ED02A6">
        <w:t> </w:t>
      </w:r>
      <w:r w:rsidR="00744C58" w:rsidRPr="00744C58">
        <w:t>2005 on an unlimited number of virtual operating environments on that same machine.</w:t>
      </w:r>
    </w:p>
    <w:p w:rsidR="00B53DBF" w:rsidRPr="00B53DBF" w:rsidRDefault="00B53DBF" w:rsidP="001C1F03">
      <w:pPr>
        <w:pStyle w:val="BulletedList1"/>
      </w:pPr>
      <w:r w:rsidRPr="00B53DBF">
        <w:rPr>
          <w:b/>
        </w:rPr>
        <w:t>Oracle 11g</w:t>
      </w:r>
      <w:r w:rsidR="001C1F03">
        <w:rPr>
          <w:b/>
        </w:rPr>
        <w:br/>
      </w:r>
      <w:r w:rsidRPr="00B53DBF">
        <w:t xml:space="preserve">Oracle </w:t>
      </w:r>
      <w:r w:rsidR="00ED02A6">
        <w:t>does</w:t>
      </w:r>
      <w:r w:rsidR="00ED02A6" w:rsidRPr="00B53DBF">
        <w:t xml:space="preserve"> </w:t>
      </w:r>
      <w:r w:rsidRPr="00B53DBF">
        <w:t xml:space="preserve">not support production deployments of Oracle software on virtualization software such as Microsoft Virtual Server or VMWare. </w:t>
      </w:r>
    </w:p>
    <w:p w:rsidR="00B53DBF" w:rsidRPr="00B53DBF" w:rsidRDefault="00B53DBF" w:rsidP="001C1F03">
      <w:pPr>
        <w:pStyle w:val="BulletedList1"/>
      </w:pPr>
      <w:r w:rsidRPr="00B53DBF">
        <w:rPr>
          <w:b/>
        </w:rPr>
        <w:t>IBM DB2 9</w:t>
      </w:r>
      <w:r w:rsidR="001C1F03">
        <w:rPr>
          <w:b/>
        </w:rPr>
        <w:br/>
      </w:r>
      <w:r w:rsidRPr="00B53DBF">
        <w:rPr>
          <w:bCs/>
        </w:rPr>
        <w:t xml:space="preserve">IBM supports its software running in a virtual environment under </w:t>
      </w:r>
      <w:r w:rsidR="00ED02A6">
        <w:rPr>
          <w:bCs/>
        </w:rPr>
        <w:t xml:space="preserve">a </w:t>
      </w:r>
      <w:r w:rsidRPr="00B53DBF">
        <w:rPr>
          <w:bCs/>
        </w:rPr>
        <w:t>subcapacity licensing</w:t>
      </w:r>
      <w:r w:rsidRPr="00B53DBF">
        <w:rPr>
          <w:b/>
          <w:bCs/>
        </w:rPr>
        <w:t xml:space="preserve"> </w:t>
      </w:r>
      <w:r w:rsidRPr="00B53DBF">
        <w:t xml:space="preserve">mechanism. A customer may license a software program for use on less than the full processor capacity of a machine, when the software program is used within one or more partitions. </w:t>
      </w:r>
    </w:p>
    <w:p w:rsidR="00E1210D" w:rsidRDefault="00B53DBF" w:rsidP="0032463F">
      <w:pPr>
        <w:pStyle w:val="Heading4"/>
      </w:pPr>
      <w:bookmarkStart w:id="12" w:name="_Toc178405164"/>
      <w:r>
        <w:t>Maintenance and Support</w:t>
      </w:r>
      <w:bookmarkEnd w:id="12"/>
    </w:p>
    <w:p w:rsidR="00B53DBF" w:rsidRPr="00B53DBF" w:rsidRDefault="00B53DBF" w:rsidP="00B53DBF">
      <w:pPr>
        <w:pStyle w:val="Text"/>
      </w:pPr>
      <w:r w:rsidRPr="00B53DBF">
        <w:t>In addition to databases licenses, customers typically purchase maintenance and support. These are often priced as a percentage of list price, typically 20 to 25</w:t>
      </w:r>
      <w:r w:rsidR="00ED02A6">
        <w:t> </w:t>
      </w:r>
      <w:r w:rsidRPr="00B53DBF">
        <w:t>percent. Because Oracle and IBM tend to have significantly higher license costs than Microsoft, maintenance costs are typically higher</w:t>
      </w:r>
      <w:r w:rsidR="00ED02A6">
        <w:t xml:space="preserve"> </w:t>
      </w:r>
      <w:r w:rsidRPr="00B53DBF">
        <w:t>for those vendors as well.</w:t>
      </w:r>
    </w:p>
    <w:p w:rsidR="00B53DBF" w:rsidRPr="00B53DBF" w:rsidRDefault="00B53DBF" w:rsidP="00B53DBF">
      <w:pPr>
        <w:pStyle w:val="Text"/>
      </w:pPr>
      <w:r w:rsidRPr="00B53DBF">
        <w:rPr>
          <w:bCs/>
        </w:rPr>
        <w:t xml:space="preserve">Maintenance gives customers the right to newer versions of the software. Vendors normally offer different levels of support, ranging from </w:t>
      </w:r>
      <w:r w:rsidR="004B6985">
        <w:rPr>
          <w:bCs/>
        </w:rPr>
        <w:t xml:space="preserve">support during </w:t>
      </w:r>
      <w:r w:rsidRPr="00B53DBF">
        <w:rPr>
          <w:bCs/>
        </w:rPr>
        <w:t xml:space="preserve">business hours all the way up to dedicated, onsite support. In contrast to Microsoft, </w:t>
      </w:r>
      <w:r w:rsidRPr="00B53DBF">
        <w:t xml:space="preserve">Oracle and IBM </w:t>
      </w:r>
      <w:r w:rsidRPr="00B53DBF">
        <w:lastRenderedPageBreak/>
        <w:t>require a maintenance agreement for the provision of service packs and security patches.</w:t>
      </w:r>
    </w:p>
    <w:p w:rsidR="00B53DBF" w:rsidRPr="00B53DBF" w:rsidRDefault="00B53DBF" w:rsidP="00B53DBF">
      <w:pPr>
        <w:pStyle w:val="Text"/>
      </w:pPr>
      <w:r w:rsidRPr="00B53DBF">
        <w:t xml:space="preserve">Given the longevity of databases, it’s important to consider the much higher ongoing cost </w:t>
      </w:r>
      <w:r w:rsidR="004B6985">
        <w:t xml:space="preserve">that is </w:t>
      </w:r>
      <w:r w:rsidRPr="00B53DBF">
        <w:t>required to maintain an Oracle or IBM database.</w:t>
      </w:r>
    </w:p>
    <w:p w:rsidR="00B53DBF" w:rsidRDefault="00B53DBF" w:rsidP="00B53DBF">
      <w:pPr>
        <w:pStyle w:val="Text"/>
      </w:pPr>
      <w:r w:rsidRPr="00B53DBF">
        <w:t xml:space="preserve">Microsoft Software Assurance gives customers automatic access to new technology and provides productivity benefits, support, tools, and training to help </w:t>
      </w:r>
      <w:r w:rsidR="006B53E8">
        <w:t xml:space="preserve">them </w:t>
      </w:r>
      <w:r w:rsidRPr="00B53DBF">
        <w:t>efficiently deploy and use software. In addition to new version rights, benefits include:</w:t>
      </w:r>
    </w:p>
    <w:p w:rsidR="00B53DBF" w:rsidRPr="00B53DBF" w:rsidRDefault="00A601F0" w:rsidP="00B53DBF">
      <w:pPr>
        <w:pStyle w:val="Text"/>
        <w:numPr>
          <w:ilvl w:val="0"/>
          <w:numId w:val="23"/>
        </w:numPr>
      </w:pPr>
      <w:hyperlink r:id="rId19" w:history="1">
        <w:r w:rsidR="00B53DBF" w:rsidRPr="00D1770F">
          <w:rPr>
            <w:rStyle w:val="Hyperlink"/>
          </w:rPr>
          <w:t xml:space="preserve">Spread </w:t>
        </w:r>
        <w:r w:rsidR="006B53E8" w:rsidRPr="00D1770F">
          <w:rPr>
            <w:rStyle w:val="Hyperlink"/>
          </w:rPr>
          <w:t>p</w:t>
        </w:r>
        <w:r w:rsidR="00B53DBF" w:rsidRPr="00D1770F">
          <w:rPr>
            <w:rStyle w:val="Hyperlink"/>
          </w:rPr>
          <w:t>ayments</w:t>
        </w:r>
      </w:hyperlink>
    </w:p>
    <w:p w:rsidR="00B53DBF" w:rsidRPr="00B53DBF" w:rsidRDefault="00B53DBF" w:rsidP="00B53DBF">
      <w:pPr>
        <w:pStyle w:val="Text"/>
        <w:numPr>
          <w:ilvl w:val="0"/>
          <w:numId w:val="23"/>
        </w:numPr>
      </w:pPr>
      <w:r w:rsidRPr="00B53DBF">
        <w:t xml:space="preserve">Desktop </w:t>
      </w:r>
      <w:r w:rsidR="006B53E8">
        <w:t>d</w:t>
      </w:r>
      <w:r w:rsidRPr="00B53DBF">
        <w:t xml:space="preserve">eployment </w:t>
      </w:r>
      <w:r w:rsidR="006B53E8">
        <w:t>p</w:t>
      </w:r>
      <w:r w:rsidRPr="00B53DBF">
        <w:t xml:space="preserve">lanning </w:t>
      </w:r>
      <w:r w:rsidR="006B53E8">
        <w:t>s</w:t>
      </w:r>
      <w:r w:rsidRPr="00B53DBF">
        <w:t>ervices</w:t>
      </w:r>
    </w:p>
    <w:p w:rsidR="00B53DBF" w:rsidRPr="00B53DBF" w:rsidRDefault="00A601F0" w:rsidP="00B53DBF">
      <w:pPr>
        <w:pStyle w:val="Text"/>
        <w:numPr>
          <w:ilvl w:val="0"/>
          <w:numId w:val="23"/>
        </w:numPr>
      </w:pPr>
      <w:hyperlink r:id="rId20" w:history="1">
        <w:r w:rsidR="00B53DBF" w:rsidRPr="00D1770F">
          <w:rPr>
            <w:rStyle w:val="Hyperlink"/>
          </w:rPr>
          <w:t>Information Work Value Discovery Workshop</w:t>
        </w:r>
      </w:hyperlink>
    </w:p>
    <w:p w:rsidR="00B53DBF" w:rsidRPr="00B53DBF" w:rsidRDefault="00A601F0" w:rsidP="00B53DBF">
      <w:pPr>
        <w:pStyle w:val="Text"/>
        <w:numPr>
          <w:ilvl w:val="0"/>
          <w:numId w:val="23"/>
        </w:numPr>
      </w:pPr>
      <w:hyperlink r:id="rId21" w:history="1">
        <w:r w:rsidR="00B53DBF" w:rsidRPr="00D1770F">
          <w:rPr>
            <w:rStyle w:val="Hyperlink"/>
          </w:rPr>
          <w:t>Information Work Architecture Design Session</w:t>
        </w:r>
      </w:hyperlink>
    </w:p>
    <w:p w:rsidR="00B53DBF" w:rsidRPr="00B53DBF" w:rsidRDefault="002E2381" w:rsidP="00B53DBF">
      <w:pPr>
        <w:pStyle w:val="Text"/>
        <w:numPr>
          <w:ilvl w:val="0"/>
          <w:numId w:val="23"/>
        </w:numPr>
      </w:pPr>
      <w:r>
        <w:t xml:space="preserve">Microsoft </w:t>
      </w:r>
      <w:r w:rsidR="00B53DBF" w:rsidRPr="00B53DBF">
        <w:t>Windows</w:t>
      </w:r>
      <w:r w:rsidRPr="002E2381">
        <w:rPr>
          <w:rStyle w:val="Trademark"/>
        </w:rPr>
        <w:t>®</w:t>
      </w:r>
      <w:r w:rsidR="00B53DBF" w:rsidRPr="00B53DBF">
        <w:t xml:space="preserve"> </w:t>
      </w:r>
      <w:r w:rsidR="006B53E8">
        <w:t>p</w:t>
      </w:r>
      <w:r w:rsidR="00B53DBF" w:rsidRPr="00B53DBF">
        <w:t>re</w:t>
      </w:r>
      <w:r w:rsidR="00A1143E">
        <w:t>-</w:t>
      </w:r>
      <w:r w:rsidR="00B53DBF" w:rsidRPr="00B53DBF">
        <w:t xml:space="preserve">installation </w:t>
      </w:r>
      <w:r w:rsidR="006B53E8">
        <w:t>e</w:t>
      </w:r>
      <w:r w:rsidR="00B53DBF" w:rsidRPr="00B53DBF">
        <w:t>nvironment</w:t>
      </w:r>
    </w:p>
    <w:p w:rsidR="00B53DBF" w:rsidRPr="00B53DBF" w:rsidRDefault="00B53DBF" w:rsidP="00B53DBF">
      <w:pPr>
        <w:pStyle w:val="Text"/>
        <w:numPr>
          <w:ilvl w:val="0"/>
          <w:numId w:val="23"/>
        </w:numPr>
      </w:pPr>
      <w:r w:rsidRPr="00B53DBF">
        <w:t>Windows Vista</w:t>
      </w:r>
      <w:r w:rsidR="002E2381" w:rsidRPr="002E2381">
        <w:rPr>
          <w:rStyle w:val="Trademark"/>
        </w:rPr>
        <w:t>™</w:t>
      </w:r>
      <w:r w:rsidRPr="00B53DBF">
        <w:t xml:space="preserve"> </w:t>
      </w:r>
      <w:r w:rsidR="00A1143E" w:rsidRPr="00B53DBF">
        <w:t>Enterprise</w:t>
      </w:r>
    </w:p>
    <w:p w:rsidR="00B53DBF" w:rsidRPr="00B53DBF" w:rsidRDefault="00A601F0" w:rsidP="00B53DBF">
      <w:pPr>
        <w:pStyle w:val="Text"/>
        <w:numPr>
          <w:ilvl w:val="0"/>
          <w:numId w:val="23"/>
        </w:numPr>
      </w:pPr>
      <w:hyperlink r:id="rId22" w:history="1">
        <w:r w:rsidR="00683356">
          <w:rPr>
            <w:rStyle w:val="Hyperlink"/>
          </w:rPr>
          <w:t>Microsoft Desktop Optimization Pack</w:t>
        </w:r>
      </w:hyperlink>
    </w:p>
    <w:p w:rsidR="00B53DBF" w:rsidRPr="00B53DBF" w:rsidRDefault="00A601F0" w:rsidP="00B53DBF">
      <w:pPr>
        <w:pStyle w:val="Text"/>
        <w:numPr>
          <w:ilvl w:val="0"/>
          <w:numId w:val="23"/>
        </w:numPr>
      </w:pPr>
      <w:hyperlink r:id="rId23" w:history="1">
        <w:r w:rsidR="00683356">
          <w:rPr>
            <w:rStyle w:val="Hyperlink"/>
          </w:rPr>
          <w:t>Microsoft Virtual PC Express</w:t>
        </w:r>
      </w:hyperlink>
    </w:p>
    <w:p w:rsidR="00B53DBF" w:rsidRPr="00B53DBF" w:rsidRDefault="00B53DBF" w:rsidP="00B53DBF">
      <w:pPr>
        <w:pStyle w:val="Text"/>
        <w:numPr>
          <w:ilvl w:val="0"/>
          <w:numId w:val="23"/>
        </w:numPr>
      </w:pPr>
      <w:r w:rsidRPr="00B53DBF">
        <w:t xml:space="preserve">Training </w:t>
      </w:r>
      <w:r w:rsidR="006B53E8">
        <w:t>v</w:t>
      </w:r>
      <w:r w:rsidRPr="00B53DBF">
        <w:t>ouchers</w:t>
      </w:r>
    </w:p>
    <w:p w:rsidR="00B53DBF" w:rsidRPr="00B53DBF" w:rsidRDefault="00B53DBF" w:rsidP="001B629B">
      <w:pPr>
        <w:pStyle w:val="Text"/>
        <w:numPr>
          <w:ilvl w:val="0"/>
          <w:numId w:val="23"/>
        </w:numPr>
      </w:pPr>
      <w:r w:rsidRPr="00B53DBF">
        <w:t>E-</w:t>
      </w:r>
      <w:r w:rsidR="006B53E8">
        <w:t>l</w:t>
      </w:r>
      <w:r w:rsidRPr="00B53DBF">
        <w:t>earning</w:t>
      </w:r>
    </w:p>
    <w:p w:rsidR="00B53DBF" w:rsidRPr="00B53DBF" w:rsidRDefault="00A601F0" w:rsidP="001B629B">
      <w:pPr>
        <w:pStyle w:val="Text"/>
        <w:numPr>
          <w:ilvl w:val="0"/>
          <w:numId w:val="23"/>
        </w:numPr>
      </w:pPr>
      <w:hyperlink r:id="rId24" w:history="1">
        <w:r w:rsidR="00B53DBF" w:rsidRPr="00D1770F">
          <w:rPr>
            <w:rStyle w:val="Hyperlink"/>
          </w:rPr>
          <w:t>Home Use Program (HUP)</w:t>
        </w:r>
      </w:hyperlink>
    </w:p>
    <w:p w:rsidR="00B53DBF" w:rsidRPr="00B53DBF" w:rsidRDefault="00A601F0" w:rsidP="001B629B">
      <w:pPr>
        <w:pStyle w:val="Text"/>
        <w:numPr>
          <w:ilvl w:val="0"/>
          <w:numId w:val="23"/>
        </w:numPr>
      </w:pPr>
      <w:hyperlink r:id="rId25" w:history="1">
        <w:r w:rsidR="00B53DBF" w:rsidRPr="00D1770F">
          <w:rPr>
            <w:rStyle w:val="Hyperlink"/>
          </w:rPr>
          <w:t>Employee Purchasing Program (EPP)</w:t>
        </w:r>
      </w:hyperlink>
    </w:p>
    <w:p w:rsidR="00B53DBF" w:rsidRPr="00B53DBF" w:rsidRDefault="00A601F0" w:rsidP="001B629B">
      <w:pPr>
        <w:pStyle w:val="Text"/>
        <w:numPr>
          <w:ilvl w:val="0"/>
          <w:numId w:val="23"/>
        </w:numPr>
      </w:pPr>
      <w:hyperlink r:id="rId26" w:history="1">
        <w:r w:rsidR="00B53DBF" w:rsidRPr="00D1770F">
          <w:rPr>
            <w:rStyle w:val="Hyperlink"/>
          </w:rPr>
          <w:t>Enterprise Source Licensing Program (ESLP)</w:t>
        </w:r>
      </w:hyperlink>
    </w:p>
    <w:p w:rsidR="00B53DBF" w:rsidRPr="00B53DBF" w:rsidRDefault="006B53E8" w:rsidP="001B629B">
      <w:pPr>
        <w:pStyle w:val="Text"/>
        <w:numPr>
          <w:ilvl w:val="0"/>
          <w:numId w:val="23"/>
        </w:numPr>
      </w:pPr>
      <w:r>
        <w:t>Twenty-four-hour-a-day seven-day-a-week problem resolution s</w:t>
      </w:r>
      <w:r w:rsidR="00B53DBF" w:rsidRPr="00B53DBF">
        <w:t>upport</w:t>
      </w:r>
    </w:p>
    <w:p w:rsidR="00B53DBF" w:rsidRPr="00B53DBF" w:rsidRDefault="00A601F0" w:rsidP="001B629B">
      <w:pPr>
        <w:pStyle w:val="Text"/>
        <w:numPr>
          <w:ilvl w:val="0"/>
          <w:numId w:val="23"/>
        </w:numPr>
      </w:pPr>
      <w:hyperlink r:id="rId27" w:history="1">
        <w:r w:rsidR="00B53DBF" w:rsidRPr="00D1770F">
          <w:rPr>
            <w:rStyle w:val="Hyperlink"/>
          </w:rPr>
          <w:t>Corporate Error Reporting</w:t>
        </w:r>
      </w:hyperlink>
    </w:p>
    <w:p w:rsidR="00B53DBF" w:rsidRPr="00B53DBF" w:rsidRDefault="006B53E8" w:rsidP="001B629B">
      <w:pPr>
        <w:pStyle w:val="Text"/>
        <w:numPr>
          <w:ilvl w:val="0"/>
          <w:numId w:val="23"/>
        </w:numPr>
      </w:pPr>
      <w:r>
        <w:t>Cold backups for disaster r</w:t>
      </w:r>
      <w:r w:rsidR="00B53DBF" w:rsidRPr="00B53DBF">
        <w:t>ecovery</w:t>
      </w:r>
    </w:p>
    <w:p w:rsidR="00B53DBF" w:rsidRPr="00B53DBF" w:rsidRDefault="006B53E8" w:rsidP="001B629B">
      <w:pPr>
        <w:pStyle w:val="Text"/>
        <w:numPr>
          <w:ilvl w:val="0"/>
          <w:numId w:val="23"/>
        </w:numPr>
      </w:pPr>
      <w:r>
        <w:t>TechNet Plus subscription media and n</w:t>
      </w:r>
      <w:r w:rsidR="00B53DBF" w:rsidRPr="00B53DBF">
        <w:t>ewsgroup</w:t>
      </w:r>
    </w:p>
    <w:p w:rsidR="00B53DBF" w:rsidRPr="00B53DBF" w:rsidRDefault="00A601F0" w:rsidP="001B629B">
      <w:pPr>
        <w:pStyle w:val="Text"/>
        <w:numPr>
          <w:ilvl w:val="0"/>
          <w:numId w:val="23"/>
        </w:numPr>
      </w:pPr>
      <w:hyperlink r:id="rId28" w:history="1">
        <w:r w:rsidR="00B53DBF" w:rsidRPr="00D1770F">
          <w:rPr>
            <w:rStyle w:val="Hyperlink"/>
          </w:rPr>
          <w:t>Windows Fundamentals for Legacy PCs</w:t>
        </w:r>
      </w:hyperlink>
    </w:p>
    <w:p w:rsidR="00B53DBF" w:rsidRPr="00B53DBF" w:rsidRDefault="006B53E8" w:rsidP="001B629B">
      <w:pPr>
        <w:pStyle w:val="Text"/>
        <w:numPr>
          <w:ilvl w:val="0"/>
          <w:numId w:val="23"/>
        </w:numPr>
      </w:pPr>
      <w:r>
        <w:t>Extended hotfix s</w:t>
      </w:r>
      <w:r w:rsidR="00B53DBF" w:rsidRPr="00B53DBF">
        <w:t xml:space="preserve">upport </w:t>
      </w:r>
    </w:p>
    <w:p w:rsidR="00A61F0A" w:rsidRDefault="00166DE3" w:rsidP="00A61F0A">
      <w:pPr>
        <w:pStyle w:val="Text"/>
      </w:pPr>
      <w:r>
        <w:t>For m</w:t>
      </w:r>
      <w:r w:rsidR="00B53DBF">
        <w:t xml:space="preserve">ore information </w:t>
      </w:r>
      <w:r w:rsidR="00B53DBF" w:rsidRPr="00B53DBF">
        <w:t xml:space="preserve">on </w:t>
      </w:r>
      <w:r>
        <w:t xml:space="preserve">the </w:t>
      </w:r>
      <w:r w:rsidR="00B53DBF" w:rsidRPr="00B53DBF">
        <w:t>Microsoft Software Assurance program</w:t>
      </w:r>
      <w:r>
        <w:t>, see</w:t>
      </w:r>
      <w:r w:rsidR="00B53DBF" w:rsidRPr="00B53DBF">
        <w:t xml:space="preserve"> </w:t>
      </w:r>
      <w:hyperlink r:id="rId29" w:history="1">
        <w:r w:rsidR="001C1F03">
          <w:rPr>
            <w:rStyle w:val="Hyperlink"/>
          </w:rPr>
          <w:t>Microsoft Software Assurance</w:t>
        </w:r>
      </w:hyperlink>
      <w:r w:rsidR="00B53DBF" w:rsidRPr="00B53DBF">
        <w:t>.</w:t>
      </w:r>
    </w:p>
    <w:p w:rsidR="007657A0" w:rsidRDefault="007657A0" w:rsidP="0032463F">
      <w:pPr>
        <w:pStyle w:val="Heading4"/>
      </w:pPr>
      <w:bookmarkStart w:id="13" w:name="_Toc178405165"/>
      <w:r>
        <w:t>Price Comparison</w:t>
      </w:r>
      <w:bookmarkEnd w:id="13"/>
    </w:p>
    <w:p w:rsidR="00A61F0A" w:rsidRDefault="00677E2D" w:rsidP="00A61F0A">
      <w:pPr>
        <w:pStyle w:val="Text"/>
      </w:pPr>
      <w:r>
        <w:t>This section</w:t>
      </w:r>
      <w:r w:rsidR="007657A0" w:rsidRPr="007657A0">
        <w:t xml:space="preserve"> compare</w:t>
      </w:r>
      <w:r>
        <w:t>s</w:t>
      </w:r>
      <w:r w:rsidR="007657A0" w:rsidRPr="007657A0">
        <w:t xml:space="preserve"> the different vendor database solutions side by side.</w:t>
      </w:r>
      <w:bookmarkStart w:id="14" w:name="_Toc176937164"/>
    </w:p>
    <w:p w:rsidR="007657A0" w:rsidRPr="00C95874" w:rsidRDefault="007657A0" w:rsidP="0032463F">
      <w:pPr>
        <w:pStyle w:val="Heading5"/>
      </w:pPr>
      <w:bookmarkStart w:id="15" w:name="_Toc178405166"/>
      <w:r w:rsidRPr="00C95874">
        <w:t xml:space="preserve">Microsoft SQL Server 2005 and Oracle </w:t>
      </w:r>
      <w:r w:rsidRPr="00612AD4">
        <w:t>11g</w:t>
      </w:r>
      <w:bookmarkEnd w:id="14"/>
      <w:bookmarkEnd w:id="15"/>
    </w:p>
    <w:p w:rsidR="007657A0" w:rsidRPr="007657A0" w:rsidRDefault="007657A0" w:rsidP="007657A0">
      <w:pPr>
        <w:pStyle w:val="Text"/>
        <w:rPr>
          <w:bCs/>
        </w:rPr>
      </w:pPr>
      <w:r w:rsidRPr="007657A0">
        <w:rPr>
          <w:bCs/>
        </w:rPr>
        <w:t>SQL Server 2005 provides management, security, and business intelligence capabilities as an integrated solution at no additional cost. Oracle sells thes</w:t>
      </w:r>
      <w:r w:rsidR="00B755EB">
        <w:rPr>
          <w:bCs/>
        </w:rPr>
        <w:t>e important features as add-ons</w:t>
      </w:r>
      <w:r w:rsidRPr="007657A0">
        <w:rPr>
          <w:bCs/>
        </w:rPr>
        <w:t xml:space="preserve"> and most of these features are available only with Oracle</w:t>
      </w:r>
      <w:r w:rsidR="00855897">
        <w:rPr>
          <w:bCs/>
        </w:rPr>
        <w:t> </w:t>
      </w:r>
      <w:r w:rsidRPr="007657A0">
        <w:rPr>
          <w:bCs/>
        </w:rPr>
        <w:t>11</w:t>
      </w:r>
      <w:r w:rsidRPr="007657A0">
        <w:rPr>
          <w:bCs/>
          <w:i/>
          <w:iCs/>
        </w:rPr>
        <w:t>g</w:t>
      </w:r>
      <w:r w:rsidRPr="007657A0">
        <w:rPr>
          <w:bCs/>
        </w:rPr>
        <w:t xml:space="preserve"> Enterprise Edition. These include:</w:t>
      </w:r>
    </w:p>
    <w:p w:rsidR="007657A0" w:rsidRPr="007657A0" w:rsidRDefault="007657A0" w:rsidP="007657A0">
      <w:pPr>
        <w:pStyle w:val="Text"/>
        <w:numPr>
          <w:ilvl w:val="0"/>
          <w:numId w:val="24"/>
        </w:numPr>
        <w:rPr>
          <w:bCs/>
        </w:rPr>
      </w:pPr>
      <w:r w:rsidRPr="007657A0">
        <w:t xml:space="preserve">Key management features </w:t>
      </w:r>
      <w:r w:rsidR="00B755EB">
        <w:t>such as</w:t>
      </w:r>
      <w:r w:rsidRPr="007657A0">
        <w:t xml:space="preserve"> diagnostic tools, performance monitoring tools, and tuning tools</w:t>
      </w:r>
      <w:r w:rsidRPr="007657A0">
        <w:rPr>
          <w:bCs/>
        </w:rPr>
        <w:t>. These management tools are included as standard features in SQL Server</w:t>
      </w:r>
      <w:r w:rsidR="00855897">
        <w:rPr>
          <w:bCs/>
        </w:rPr>
        <w:t> </w:t>
      </w:r>
      <w:r w:rsidRPr="007657A0">
        <w:rPr>
          <w:bCs/>
        </w:rPr>
        <w:t>2005 Standard and Enterprise Edition. However, these tools are only available as extra-cost options with both editions of Oracle</w:t>
      </w:r>
      <w:r w:rsidR="00855897">
        <w:rPr>
          <w:bCs/>
        </w:rPr>
        <w:t> </w:t>
      </w:r>
      <w:r w:rsidRPr="007657A0">
        <w:rPr>
          <w:bCs/>
        </w:rPr>
        <w:t>11</w:t>
      </w:r>
      <w:r w:rsidRPr="007657A0">
        <w:rPr>
          <w:bCs/>
          <w:i/>
          <w:iCs/>
        </w:rPr>
        <w:t>g</w:t>
      </w:r>
      <w:r w:rsidRPr="007657A0">
        <w:rPr>
          <w:bCs/>
        </w:rPr>
        <w:t>.</w:t>
      </w:r>
    </w:p>
    <w:p w:rsidR="007657A0" w:rsidRPr="007657A0" w:rsidRDefault="007657A0" w:rsidP="007657A0">
      <w:pPr>
        <w:pStyle w:val="Text"/>
        <w:numPr>
          <w:ilvl w:val="0"/>
          <w:numId w:val="24"/>
        </w:numPr>
        <w:rPr>
          <w:bCs/>
        </w:rPr>
      </w:pPr>
      <w:r w:rsidRPr="007657A0">
        <w:t xml:space="preserve">Advanced security features </w:t>
      </w:r>
      <w:r w:rsidR="00E309F7">
        <w:t>such as</w:t>
      </w:r>
      <w:r w:rsidRPr="007657A0">
        <w:t xml:space="preserve"> data encryption, public key infrastructure (PKI), and single sign-on support</w:t>
      </w:r>
      <w:r w:rsidRPr="007657A0">
        <w:rPr>
          <w:bCs/>
        </w:rPr>
        <w:t xml:space="preserve">. These important security capabilities are included with </w:t>
      </w:r>
      <w:r w:rsidRPr="007657A0">
        <w:rPr>
          <w:bCs/>
        </w:rPr>
        <w:lastRenderedPageBreak/>
        <w:t>SQL Server</w:t>
      </w:r>
      <w:r w:rsidR="00855897">
        <w:rPr>
          <w:bCs/>
        </w:rPr>
        <w:t> </w:t>
      </w:r>
      <w:r w:rsidRPr="007657A0">
        <w:rPr>
          <w:bCs/>
        </w:rPr>
        <w:t xml:space="preserve">2005 Standard and Enterprise </w:t>
      </w:r>
      <w:r w:rsidR="00B755EB">
        <w:rPr>
          <w:bCs/>
        </w:rPr>
        <w:t>e</w:t>
      </w:r>
      <w:r w:rsidRPr="007657A0">
        <w:rPr>
          <w:bCs/>
        </w:rPr>
        <w:t>dition</w:t>
      </w:r>
      <w:r w:rsidR="00B755EB">
        <w:rPr>
          <w:bCs/>
        </w:rPr>
        <w:t>s</w:t>
      </w:r>
      <w:r w:rsidRPr="007657A0">
        <w:rPr>
          <w:bCs/>
        </w:rPr>
        <w:t xml:space="preserve"> at no additional cost. Oracle provides these features as extra-cost options and only makes them available with the Enterprise edition. This means </w:t>
      </w:r>
      <w:r w:rsidR="00B755EB">
        <w:rPr>
          <w:bCs/>
        </w:rPr>
        <w:t xml:space="preserve">that </w:t>
      </w:r>
      <w:r w:rsidRPr="007657A0">
        <w:rPr>
          <w:bCs/>
        </w:rPr>
        <w:t>users of Oracle</w:t>
      </w:r>
      <w:r w:rsidR="00855897">
        <w:rPr>
          <w:bCs/>
        </w:rPr>
        <w:t> </w:t>
      </w:r>
      <w:r w:rsidRPr="007657A0">
        <w:rPr>
          <w:bCs/>
        </w:rPr>
        <w:t>11</w:t>
      </w:r>
      <w:r w:rsidRPr="007657A0">
        <w:rPr>
          <w:bCs/>
          <w:i/>
          <w:iCs/>
        </w:rPr>
        <w:t>g</w:t>
      </w:r>
      <w:r w:rsidRPr="007657A0">
        <w:rPr>
          <w:bCs/>
        </w:rPr>
        <w:t xml:space="preserve"> Standard Edition must find alternative solutions or install add-on security products from third-party software providers.</w:t>
      </w:r>
    </w:p>
    <w:p w:rsidR="007657A0" w:rsidRPr="007657A0" w:rsidRDefault="007657A0" w:rsidP="007657A0">
      <w:pPr>
        <w:pStyle w:val="Text"/>
        <w:numPr>
          <w:ilvl w:val="0"/>
          <w:numId w:val="24"/>
        </w:numPr>
        <w:rPr>
          <w:bCs/>
        </w:rPr>
      </w:pPr>
      <w:r w:rsidRPr="007657A0">
        <w:t xml:space="preserve">Business intelligence components </w:t>
      </w:r>
      <w:r w:rsidR="00E309F7">
        <w:t>such as</w:t>
      </w:r>
      <w:r w:rsidRPr="007657A0">
        <w:t xml:space="preserve"> online analytical processing (OLAP), enterprise reporting, and data mining</w:t>
      </w:r>
      <w:r w:rsidRPr="007657A0">
        <w:rPr>
          <w:bCs/>
        </w:rPr>
        <w:t>. Again, these features are included in SQL Server</w:t>
      </w:r>
      <w:r w:rsidR="00855897">
        <w:rPr>
          <w:bCs/>
        </w:rPr>
        <w:t> </w:t>
      </w:r>
      <w:r w:rsidRPr="007657A0">
        <w:rPr>
          <w:bCs/>
        </w:rPr>
        <w:t>2005 Standard and Enterprise Edition. Oracle, however, offers these items only as extra-cost options and only with Oracle</w:t>
      </w:r>
      <w:r w:rsidR="00855897">
        <w:rPr>
          <w:bCs/>
        </w:rPr>
        <w:t> </w:t>
      </w:r>
      <w:r w:rsidRPr="007657A0">
        <w:rPr>
          <w:bCs/>
        </w:rPr>
        <w:t>11</w:t>
      </w:r>
      <w:r w:rsidRPr="007657A0">
        <w:rPr>
          <w:bCs/>
          <w:i/>
          <w:iCs/>
        </w:rPr>
        <w:t>g</w:t>
      </w:r>
      <w:r w:rsidRPr="007657A0">
        <w:rPr>
          <w:bCs/>
        </w:rPr>
        <w:t xml:space="preserve"> Enterprise Edition.</w:t>
      </w:r>
    </w:p>
    <w:p w:rsidR="00B31458" w:rsidRPr="007657A0" w:rsidRDefault="007657A0" w:rsidP="007657A0">
      <w:pPr>
        <w:pStyle w:val="Text"/>
        <w:rPr>
          <w:iCs/>
        </w:rPr>
      </w:pPr>
      <w:r w:rsidRPr="007657A0">
        <w:rPr>
          <w:bCs/>
        </w:rPr>
        <w:t xml:space="preserve">In the </w:t>
      </w:r>
      <w:r w:rsidR="00B755EB">
        <w:rPr>
          <w:bCs/>
        </w:rPr>
        <w:t xml:space="preserve">following </w:t>
      </w:r>
      <w:r w:rsidRPr="007657A0">
        <w:rPr>
          <w:bCs/>
        </w:rPr>
        <w:t>table and graph, significant price differences between SQL Server</w:t>
      </w:r>
      <w:r w:rsidR="00855897">
        <w:rPr>
          <w:bCs/>
        </w:rPr>
        <w:t> </w:t>
      </w:r>
      <w:r w:rsidRPr="007657A0">
        <w:rPr>
          <w:bCs/>
        </w:rPr>
        <w:t>2005 and Oracle</w:t>
      </w:r>
      <w:r w:rsidR="00855897">
        <w:rPr>
          <w:bCs/>
        </w:rPr>
        <w:t> </w:t>
      </w:r>
      <w:r w:rsidRPr="007657A0">
        <w:rPr>
          <w:bCs/>
        </w:rPr>
        <w:t>11</w:t>
      </w:r>
      <w:r w:rsidRPr="007657A0">
        <w:rPr>
          <w:bCs/>
          <w:iCs/>
        </w:rPr>
        <w:t>g</w:t>
      </w:r>
      <w:r w:rsidRPr="007657A0">
        <w:rPr>
          <w:bCs/>
        </w:rPr>
        <w:t xml:space="preserve"> arise when comparing the costs associated with these key data management features. These price differences are accentuated when considering multicore processors.</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250"/>
        <w:gridCol w:w="1080"/>
        <w:gridCol w:w="2340"/>
        <w:gridCol w:w="1080"/>
      </w:tblGrid>
      <w:tr w:rsidR="007657A0" w:rsidRPr="00B257FC" w:rsidTr="00C5542A">
        <w:trPr>
          <w:tblHeader/>
        </w:trPr>
        <w:tc>
          <w:tcPr>
            <w:tcW w:w="1548" w:type="dxa"/>
            <w:shd w:val="pct20" w:color="auto" w:fill="auto"/>
          </w:tcPr>
          <w:p w:rsidR="007657A0" w:rsidRPr="00B257FC" w:rsidRDefault="007657A0" w:rsidP="00C5542A">
            <w:pPr>
              <w:pStyle w:val="TableHeading"/>
              <w:rPr>
                <w:rFonts w:ascii="Calibri" w:hAnsi="Calibri"/>
                <w:sz w:val="18"/>
                <w:szCs w:val="18"/>
              </w:rPr>
            </w:pPr>
          </w:p>
        </w:tc>
        <w:tc>
          <w:tcPr>
            <w:tcW w:w="2250" w:type="dxa"/>
            <w:shd w:val="pct20" w:color="auto" w:fill="auto"/>
          </w:tcPr>
          <w:p w:rsidR="007657A0" w:rsidRPr="00B257FC" w:rsidRDefault="007657A0" w:rsidP="00C5542A">
            <w:pPr>
              <w:pStyle w:val="TableHeading"/>
              <w:rPr>
                <w:rFonts w:ascii="Calibri" w:hAnsi="Calibri"/>
                <w:sz w:val="18"/>
                <w:szCs w:val="18"/>
              </w:rPr>
            </w:pPr>
            <w:r w:rsidRPr="00B257FC">
              <w:rPr>
                <w:rFonts w:ascii="Calibri" w:hAnsi="Calibri"/>
                <w:sz w:val="18"/>
                <w:szCs w:val="18"/>
              </w:rPr>
              <w:t>Oracle 11g</w:t>
            </w:r>
          </w:p>
        </w:tc>
        <w:tc>
          <w:tcPr>
            <w:tcW w:w="1080" w:type="dxa"/>
            <w:shd w:val="pct20" w:color="auto" w:fill="auto"/>
          </w:tcPr>
          <w:p w:rsidR="007657A0" w:rsidRPr="00B257FC" w:rsidRDefault="007657A0" w:rsidP="00C5542A">
            <w:pPr>
              <w:pStyle w:val="TableHeading"/>
              <w:rPr>
                <w:rFonts w:ascii="Calibri" w:hAnsi="Calibri"/>
                <w:sz w:val="18"/>
                <w:szCs w:val="18"/>
              </w:rPr>
            </w:pPr>
          </w:p>
        </w:tc>
        <w:tc>
          <w:tcPr>
            <w:tcW w:w="2340" w:type="dxa"/>
            <w:shd w:val="pct20" w:color="auto" w:fill="auto"/>
          </w:tcPr>
          <w:p w:rsidR="007657A0" w:rsidRPr="00B257FC" w:rsidRDefault="007657A0" w:rsidP="00C5542A">
            <w:pPr>
              <w:pStyle w:val="TableHeading"/>
              <w:rPr>
                <w:rFonts w:ascii="Calibri" w:hAnsi="Calibri"/>
                <w:sz w:val="18"/>
                <w:szCs w:val="18"/>
              </w:rPr>
            </w:pPr>
            <w:r w:rsidRPr="00B257FC">
              <w:rPr>
                <w:rFonts w:ascii="Calibri" w:hAnsi="Calibri"/>
                <w:sz w:val="18"/>
                <w:szCs w:val="18"/>
              </w:rPr>
              <w:t>Microsoft SQL Server 2005</w:t>
            </w:r>
          </w:p>
        </w:tc>
        <w:tc>
          <w:tcPr>
            <w:tcW w:w="1080" w:type="dxa"/>
            <w:shd w:val="pct20" w:color="auto" w:fill="auto"/>
          </w:tcPr>
          <w:p w:rsidR="007657A0" w:rsidRPr="00B257FC" w:rsidRDefault="007657A0" w:rsidP="00C5542A">
            <w:pPr>
              <w:pStyle w:val="TableHeading"/>
              <w:rPr>
                <w:rFonts w:ascii="Calibri" w:hAnsi="Calibri"/>
                <w:sz w:val="18"/>
                <w:szCs w:val="18"/>
              </w:rPr>
            </w:pPr>
          </w:p>
        </w:tc>
      </w:tr>
      <w:tr w:rsidR="007657A0" w:rsidRPr="00B257FC" w:rsidTr="00C5542A">
        <w:tc>
          <w:tcPr>
            <w:tcW w:w="1548" w:type="dxa"/>
            <w:vMerge w:val="restart"/>
          </w:tcPr>
          <w:p w:rsidR="007657A0" w:rsidRPr="00B257FC" w:rsidRDefault="007657A0" w:rsidP="00C5542A">
            <w:pPr>
              <w:pStyle w:val="TableText"/>
              <w:rPr>
                <w:rFonts w:ascii="Calibri" w:hAnsi="Calibri"/>
                <w:szCs w:val="18"/>
              </w:rPr>
            </w:pPr>
            <w:r>
              <w:rPr>
                <w:rFonts w:ascii="Calibri" w:hAnsi="Calibri"/>
                <w:szCs w:val="18"/>
              </w:rPr>
              <w:t>Database Components</w:t>
            </w:r>
          </w:p>
        </w:tc>
        <w:tc>
          <w:tcPr>
            <w:tcW w:w="2250" w:type="dxa"/>
          </w:tcPr>
          <w:p w:rsidR="007657A0" w:rsidRPr="00B257FC" w:rsidRDefault="007657A0" w:rsidP="00C5542A">
            <w:pPr>
              <w:pStyle w:val="TableText"/>
              <w:rPr>
                <w:rFonts w:ascii="Calibri" w:hAnsi="Calibri"/>
                <w:szCs w:val="18"/>
              </w:rPr>
            </w:pPr>
            <w:r w:rsidRPr="00B257FC">
              <w:rPr>
                <w:rFonts w:ascii="Calibri" w:hAnsi="Calibri"/>
                <w:szCs w:val="18"/>
              </w:rPr>
              <w:t>Enterprise Edition</w:t>
            </w:r>
          </w:p>
        </w:tc>
        <w:tc>
          <w:tcPr>
            <w:tcW w:w="1080" w:type="dxa"/>
            <w:vAlign w:val="bottom"/>
          </w:tcPr>
          <w:p w:rsidR="007657A0" w:rsidRPr="00B257FC" w:rsidRDefault="007657A0" w:rsidP="00C5542A">
            <w:pPr>
              <w:pStyle w:val="TableText"/>
              <w:jc w:val="right"/>
              <w:rPr>
                <w:rFonts w:ascii="Calibri" w:hAnsi="Calibri"/>
                <w:szCs w:val="18"/>
              </w:rPr>
            </w:pPr>
            <w:r w:rsidRPr="00B257FC">
              <w:rPr>
                <w:rFonts w:ascii="Calibri" w:hAnsi="Calibri"/>
                <w:szCs w:val="18"/>
              </w:rPr>
              <w:t>$40,000</w:t>
            </w:r>
          </w:p>
        </w:tc>
        <w:tc>
          <w:tcPr>
            <w:tcW w:w="2340" w:type="dxa"/>
          </w:tcPr>
          <w:p w:rsidR="007657A0" w:rsidRPr="00B257FC" w:rsidRDefault="007657A0" w:rsidP="00C5542A">
            <w:pPr>
              <w:pStyle w:val="TableText"/>
              <w:rPr>
                <w:rFonts w:ascii="Calibri" w:hAnsi="Calibri"/>
                <w:szCs w:val="18"/>
              </w:rPr>
            </w:pPr>
            <w:r w:rsidRPr="00B257FC">
              <w:rPr>
                <w:rFonts w:ascii="Calibri" w:hAnsi="Calibri"/>
                <w:szCs w:val="18"/>
              </w:rPr>
              <w:t>Enterprise Edition</w:t>
            </w:r>
          </w:p>
        </w:tc>
        <w:tc>
          <w:tcPr>
            <w:tcW w:w="1080" w:type="dxa"/>
            <w:vAlign w:val="bottom"/>
          </w:tcPr>
          <w:p w:rsidR="007657A0" w:rsidRPr="00B257FC" w:rsidRDefault="007657A0" w:rsidP="00C5542A">
            <w:pPr>
              <w:pStyle w:val="TableText"/>
              <w:jc w:val="right"/>
              <w:rPr>
                <w:rFonts w:ascii="Calibri" w:hAnsi="Calibri"/>
                <w:szCs w:val="18"/>
              </w:rPr>
            </w:pPr>
            <w:r w:rsidRPr="00B257FC">
              <w:rPr>
                <w:rFonts w:ascii="Calibri" w:hAnsi="Calibri"/>
                <w:szCs w:val="18"/>
              </w:rPr>
              <w:t>$24,999</w:t>
            </w:r>
          </w:p>
        </w:tc>
      </w:tr>
      <w:tr w:rsidR="007657A0" w:rsidRPr="00B257FC" w:rsidTr="00C5542A">
        <w:tc>
          <w:tcPr>
            <w:tcW w:w="1548" w:type="dxa"/>
            <w:vMerge/>
          </w:tcPr>
          <w:p w:rsidR="007657A0" w:rsidRPr="00B257FC" w:rsidRDefault="007657A0" w:rsidP="00C5542A">
            <w:pPr>
              <w:pStyle w:val="TableText"/>
              <w:rPr>
                <w:rFonts w:ascii="Calibri" w:hAnsi="Calibri"/>
                <w:szCs w:val="18"/>
              </w:rPr>
            </w:pPr>
          </w:p>
        </w:tc>
        <w:tc>
          <w:tcPr>
            <w:tcW w:w="2250" w:type="dxa"/>
          </w:tcPr>
          <w:p w:rsidR="007657A0" w:rsidRPr="002A56AC" w:rsidRDefault="007657A0" w:rsidP="00C5542A">
            <w:pPr>
              <w:pStyle w:val="TableText"/>
              <w:rPr>
                <w:rFonts w:ascii="Calibri" w:hAnsi="Calibri"/>
                <w:szCs w:val="18"/>
              </w:rPr>
            </w:pPr>
            <w:r w:rsidRPr="002A56AC">
              <w:rPr>
                <w:rFonts w:ascii="Calibri" w:hAnsi="Calibri"/>
                <w:szCs w:val="18"/>
              </w:rPr>
              <w:t>Management Packs</w:t>
            </w:r>
          </w:p>
        </w:tc>
        <w:tc>
          <w:tcPr>
            <w:tcW w:w="1080" w:type="dxa"/>
            <w:vAlign w:val="bottom"/>
          </w:tcPr>
          <w:p w:rsidR="007657A0" w:rsidRPr="002A56AC" w:rsidRDefault="007657A0" w:rsidP="00C5542A">
            <w:pPr>
              <w:pStyle w:val="TableText"/>
              <w:jc w:val="right"/>
              <w:rPr>
                <w:rFonts w:ascii="Calibri" w:hAnsi="Calibri"/>
                <w:szCs w:val="18"/>
              </w:rPr>
            </w:pPr>
            <w:r w:rsidRPr="002A56AC">
              <w:rPr>
                <w:rFonts w:ascii="Calibri" w:hAnsi="Calibri"/>
                <w:szCs w:val="18"/>
              </w:rPr>
              <w:t>$</w:t>
            </w:r>
            <w:r>
              <w:rPr>
                <w:rFonts w:ascii="Calibri" w:hAnsi="Calibri"/>
                <w:szCs w:val="18"/>
              </w:rPr>
              <w:t>12</w:t>
            </w:r>
            <w:r w:rsidRPr="002A56AC">
              <w:rPr>
                <w:rFonts w:ascii="Calibri" w:hAnsi="Calibri"/>
                <w:szCs w:val="18"/>
              </w:rPr>
              <w:t>,000</w:t>
            </w:r>
          </w:p>
        </w:tc>
        <w:tc>
          <w:tcPr>
            <w:tcW w:w="2340" w:type="dxa"/>
          </w:tcPr>
          <w:p w:rsidR="007657A0" w:rsidRPr="002A56AC" w:rsidRDefault="007657A0" w:rsidP="00C5542A">
            <w:pPr>
              <w:pStyle w:val="TableText"/>
              <w:rPr>
                <w:rFonts w:ascii="Calibri" w:hAnsi="Calibri"/>
                <w:szCs w:val="18"/>
              </w:rPr>
            </w:pPr>
            <w:r w:rsidRPr="002A56AC">
              <w:rPr>
                <w:rFonts w:ascii="Calibri" w:hAnsi="Calibri"/>
                <w:szCs w:val="18"/>
              </w:rPr>
              <w:t>Management Tools</w:t>
            </w:r>
          </w:p>
        </w:tc>
        <w:tc>
          <w:tcPr>
            <w:tcW w:w="1080" w:type="dxa"/>
            <w:vAlign w:val="bottom"/>
          </w:tcPr>
          <w:p w:rsidR="007657A0" w:rsidRPr="002A56AC" w:rsidRDefault="007657A0" w:rsidP="00C5542A">
            <w:pPr>
              <w:pStyle w:val="TableText"/>
              <w:jc w:val="right"/>
              <w:rPr>
                <w:rFonts w:ascii="Calibri" w:hAnsi="Calibri"/>
                <w:szCs w:val="18"/>
              </w:rPr>
            </w:pPr>
            <w:r w:rsidRPr="002A56AC">
              <w:rPr>
                <w:rFonts w:ascii="Calibri" w:hAnsi="Calibri"/>
                <w:szCs w:val="18"/>
              </w:rPr>
              <w:t>Included</w:t>
            </w:r>
          </w:p>
        </w:tc>
      </w:tr>
      <w:tr w:rsidR="007657A0" w:rsidRPr="00B257FC" w:rsidTr="00C5542A">
        <w:tc>
          <w:tcPr>
            <w:tcW w:w="1548" w:type="dxa"/>
            <w:vMerge/>
          </w:tcPr>
          <w:p w:rsidR="007657A0" w:rsidRPr="00B257FC" w:rsidRDefault="007657A0" w:rsidP="00C5542A">
            <w:pPr>
              <w:pStyle w:val="TableText"/>
              <w:rPr>
                <w:rFonts w:ascii="Calibri" w:hAnsi="Calibri"/>
                <w:szCs w:val="18"/>
              </w:rPr>
            </w:pPr>
          </w:p>
        </w:tc>
        <w:tc>
          <w:tcPr>
            <w:tcW w:w="2250" w:type="dxa"/>
          </w:tcPr>
          <w:p w:rsidR="007657A0" w:rsidRPr="002A56AC" w:rsidRDefault="007657A0" w:rsidP="00C5542A">
            <w:pPr>
              <w:pStyle w:val="TableText"/>
              <w:rPr>
                <w:rFonts w:ascii="Calibri" w:hAnsi="Calibri"/>
                <w:szCs w:val="18"/>
              </w:rPr>
            </w:pPr>
            <w:r w:rsidRPr="002A56AC">
              <w:rPr>
                <w:rFonts w:ascii="Calibri" w:hAnsi="Calibri"/>
                <w:szCs w:val="18"/>
              </w:rPr>
              <w:t>Advanced Security and Partitioning</w:t>
            </w:r>
          </w:p>
        </w:tc>
        <w:tc>
          <w:tcPr>
            <w:tcW w:w="1080" w:type="dxa"/>
            <w:vAlign w:val="bottom"/>
          </w:tcPr>
          <w:p w:rsidR="007657A0" w:rsidRPr="002A56AC" w:rsidRDefault="007657A0" w:rsidP="00C5542A">
            <w:pPr>
              <w:pStyle w:val="TableText"/>
              <w:jc w:val="right"/>
              <w:rPr>
                <w:rFonts w:ascii="Calibri" w:hAnsi="Calibri"/>
                <w:szCs w:val="18"/>
              </w:rPr>
            </w:pPr>
            <w:r w:rsidRPr="002A56AC">
              <w:rPr>
                <w:rFonts w:ascii="Calibri" w:hAnsi="Calibri"/>
                <w:szCs w:val="18"/>
              </w:rPr>
              <w:t>$20,000</w:t>
            </w:r>
          </w:p>
        </w:tc>
        <w:tc>
          <w:tcPr>
            <w:tcW w:w="2340" w:type="dxa"/>
          </w:tcPr>
          <w:p w:rsidR="007657A0" w:rsidRPr="002A56AC" w:rsidRDefault="007657A0" w:rsidP="00C5542A">
            <w:pPr>
              <w:pStyle w:val="TableText"/>
              <w:rPr>
                <w:rFonts w:ascii="Calibri" w:hAnsi="Calibri"/>
                <w:szCs w:val="18"/>
              </w:rPr>
            </w:pPr>
            <w:r w:rsidRPr="002A56AC">
              <w:rPr>
                <w:rFonts w:ascii="Calibri" w:hAnsi="Calibri"/>
                <w:szCs w:val="18"/>
              </w:rPr>
              <w:t xml:space="preserve">Encryption, </w:t>
            </w:r>
            <w:r w:rsidR="004F406A">
              <w:rPr>
                <w:rFonts w:ascii="Calibri" w:hAnsi="Calibri"/>
                <w:szCs w:val="18"/>
              </w:rPr>
              <w:t>s</w:t>
            </w:r>
            <w:r w:rsidRPr="002A56AC">
              <w:rPr>
                <w:rFonts w:ascii="Calibri" w:hAnsi="Calibri"/>
                <w:szCs w:val="18"/>
              </w:rPr>
              <w:t xml:space="preserve">ingle sign-on, PKI, </w:t>
            </w:r>
            <w:r w:rsidR="004F406A">
              <w:rPr>
                <w:rFonts w:ascii="Calibri" w:hAnsi="Calibri"/>
                <w:szCs w:val="18"/>
              </w:rPr>
              <w:t>p</w:t>
            </w:r>
            <w:r w:rsidRPr="002A56AC">
              <w:rPr>
                <w:rFonts w:ascii="Calibri" w:hAnsi="Calibri"/>
                <w:szCs w:val="18"/>
              </w:rPr>
              <w:t>artitioning</w:t>
            </w:r>
          </w:p>
        </w:tc>
        <w:tc>
          <w:tcPr>
            <w:tcW w:w="1080" w:type="dxa"/>
            <w:vAlign w:val="bottom"/>
          </w:tcPr>
          <w:p w:rsidR="007657A0" w:rsidRPr="002A56AC" w:rsidRDefault="007657A0" w:rsidP="00C5542A">
            <w:pPr>
              <w:pStyle w:val="TableText"/>
              <w:jc w:val="right"/>
              <w:rPr>
                <w:rFonts w:ascii="Calibri" w:hAnsi="Calibri"/>
                <w:szCs w:val="18"/>
              </w:rPr>
            </w:pPr>
            <w:r w:rsidRPr="002A56AC">
              <w:rPr>
                <w:rFonts w:ascii="Calibri" w:hAnsi="Calibri"/>
                <w:szCs w:val="18"/>
              </w:rPr>
              <w:t>Included</w:t>
            </w:r>
          </w:p>
        </w:tc>
      </w:tr>
      <w:tr w:rsidR="007657A0" w:rsidRPr="00B257FC" w:rsidTr="00C5542A">
        <w:tc>
          <w:tcPr>
            <w:tcW w:w="1548" w:type="dxa"/>
            <w:vMerge/>
          </w:tcPr>
          <w:p w:rsidR="007657A0" w:rsidRPr="00B257FC" w:rsidRDefault="007657A0" w:rsidP="00C5542A">
            <w:pPr>
              <w:pStyle w:val="TableText"/>
              <w:rPr>
                <w:rFonts w:ascii="Calibri" w:hAnsi="Calibri"/>
                <w:szCs w:val="18"/>
              </w:rPr>
            </w:pPr>
          </w:p>
        </w:tc>
        <w:tc>
          <w:tcPr>
            <w:tcW w:w="2250" w:type="dxa"/>
          </w:tcPr>
          <w:p w:rsidR="007657A0" w:rsidRPr="002A56AC" w:rsidRDefault="007657A0" w:rsidP="00C5542A">
            <w:pPr>
              <w:pStyle w:val="TableText"/>
              <w:rPr>
                <w:rFonts w:ascii="Calibri" w:hAnsi="Calibri"/>
                <w:szCs w:val="18"/>
              </w:rPr>
            </w:pPr>
            <w:r w:rsidRPr="002A56AC">
              <w:rPr>
                <w:rFonts w:ascii="Calibri" w:hAnsi="Calibri"/>
                <w:szCs w:val="18"/>
              </w:rPr>
              <w:t>Business Intelligence (OLAP and Data Mining add-on)</w:t>
            </w:r>
          </w:p>
        </w:tc>
        <w:tc>
          <w:tcPr>
            <w:tcW w:w="1080" w:type="dxa"/>
            <w:vAlign w:val="bottom"/>
          </w:tcPr>
          <w:p w:rsidR="007657A0" w:rsidRPr="002A56AC" w:rsidRDefault="007657A0" w:rsidP="00C5542A">
            <w:pPr>
              <w:pStyle w:val="TableText"/>
              <w:jc w:val="right"/>
              <w:rPr>
                <w:rFonts w:ascii="Calibri" w:hAnsi="Calibri"/>
                <w:szCs w:val="18"/>
              </w:rPr>
            </w:pPr>
            <w:r w:rsidRPr="002A56AC">
              <w:rPr>
                <w:rFonts w:ascii="Calibri" w:hAnsi="Calibri"/>
                <w:szCs w:val="18"/>
              </w:rPr>
              <w:t>$40,000</w:t>
            </w:r>
          </w:p>
        </w:tc>
        <w:tc>
          <w:tcPr>
            <w:tcW w:w="2340" w:type="dxa"/>
          </w:tcPr>
          <w:p w:rsidR="007657A0" w:rsidRPr="002A56AC" w:rsidRDefault="007657A0" w:rsidP="00C5542A">
            <w:pPr>
              <w:pStyle w:val="TableText"/>
              <w:rPr>
                <w:rFonts w:ascii="Calibri" w:hAnsi="Calibri"/>
                <w:szCs w:val="18"/>
              </w:rPr>
            </w:pPr>
            <w:r w:rsidRPr="002A56AC">
              <w:rPr>
                <w:rFonts w:ascii="Calibri" w:hAnsi="Calibri"/>
                <w:szCs w:val="18"/>
              </w:rPr>
              <w:t>Integration, Reporting and Analysis services</w:t>
            </w:r>
          </w:p>
        </w:tc>
        <w:tc>
          <w:tcPr>
            <w:tcW w:w="1080" w:type="dxa"/>
            <w:vAlign w:val="bottom"/>
          </w:tcPr>
          <w:p w:rsidR="007657A0" w:rsidRPr="002A56AC" w:rsidRDefault="007657A0" w:rsidP="00C5542A">
            <w:pPr>
              <w:pStyle w:val="TableText"/>
              <w:jc w:val="right"/>
              <w:rPr>
                <w:rFonts w:ascii="Calibri" w:hAnsi="Calibri"/>
                <w:szCs w:val="18"/>
              </w:rPr>
            </w:pPr>
            <w:r w:rsidRPr="002A56AC">
              <w:rPr>
                <w:rFonts w:ascii="Calibri" w:hAnsi="Calibri"/>
                <w:szCs w:val="18"/>
              </w:rPr>
              <w:t>Included</w:t>
            </w:r>
          </w:p>
        </w:tc>
      </w:tr>
      <w:tr w:rsidR="007657A0" w:rsidRPr="00B257FC" w:rsidTr="00C5542A">
        <w:tc>
          <w:tcPr>
            <w:tcW w:w="1548" w:type="dxa"/>
          </w:tcPr>
          <w:p w:rsidR="007657A0" w:rsidRPr="00B257FC" w:rsidRDefault="007657A0" w:rsidP="00C5542A">
            <w:pPr>
              <w:pStyle w:val="TableText"/>
              <w:rPr>
                <w:rFonts w:ascii="Calibri" w:hAnsi="Calibri"/>
                <w:b/>
                <w:szCs w:val="18"/>
              </w:rPr>
            </w:pPr>
            <w:r w:rsidRPr="00B257FC">
              <w:rPr>
                <w:rFonts w:ascii="Calibri" w:hAnsi="Calibri"/>
                <w:b/>
                <w:szCs w:val="18"/>
              </w:rPr>
              <w:t xml:space="preserve">Subtotal </w:t>
            </w:r>
          </w:p>
        </w:tc>
        <w:tc>
          <w:tcPr>
            <w:tcW w:w="2250" w:type="dxa"/>
          </w:tcPr>
          <w:p w:rsidR="007657A0" w:rsidRPr="002A56AC" w:rsidRDefault="007657A0" w:rsidP="00C5542A">
            <w:pPr>
              <w:pStyle w:val="TableText"/>
              <w:rPr>
                <w:rFonts w:ascii="Calibri" w:hAnsi="Calibri"/>
                <w:b/>
                <w:szCs w:val="18"/>
              </w:rPr>
            </w:pPr>
          </w:p>
        </w:tc>
        <w:tc>
          <w:tcPr>
            <w:tcW w:w="1080" w:type="dxa"/>
            <w:vAlign w:val="bottom"/>
          </w:tcPr>
          <w:p w:rsidR="007657A0" w:rsidRPr="002A56AC" w:rsidRDefault="003F4C0C" w:rsidP="00C5542A">
            <w:pPr>
              <w:pStyle w:val="TableText"/>
              <w:jc w:val="right"/>
              <w:rPr>
                <w:rFonts w:ascii="Calibri" w:hAnsi="Calibri"/>
                <w:b/>
                <w:szCs w:val="18"/>
              </w:rPr>
            </w:pPr>
            <w:r>
              <w:rPr>
                <w:rFonts w:ascii="Calibri" w:hAnsi="Calibri"/>
                <w:b/>
                <w:szCs w:val="18"/>
              </w:rPr>
              <w:t>$112</w:t>
            </w:r>
            <w:r w:rsidR="007657A0" w:rsidRPr="002A56AC">
              <w:rPr>
                <w:rFonts w:ascii="Calibri" w:hAnsi="Calibri"/>
                <w:b/>
                <w:szCs w:val="18"/>
              </w:rPr>
              <w:t>,000</w:t>
            </w:r>
          </w:p>
        </w:tc>
        <w:tc>
          <w:tcPr>
            <w:tcW w:w="2340" w:type="dxa"/>
          </w:tcPr>
          <w:p w:rsidR="007657A0" w:rsidRPr="002A56AC" w:rsidRDefault="007657A0" w:rsidP="00C5542A">
            <w:pPr>
              <w:pStyle w:val="TableText"/>
              <w:rPr>
                <w:rFonts w:ascii="Calibri" w:hAnsi="Calibri"/>
                <w:b/>
                <w:szCs w:val="18"/>
              </w:rPr>
            </w:pPr>
          </w:p>
        </w:tc>
        <w:tc>
          <w:tcPr>
            <w:tcW w:w="1080" w:type="dxa"/>
            <w:vAlign w:val="bottom"/>
          </w:tcPr>
          <w:p w:rsidR="007657A0" w:rsidRPr="002A56AC" w:rsidRDefault="007657A0" w:rsidP="00C5542A">
            <w:pPr>
              <w:pStyle w:val="TableText"/>
              <w:jc w:val="right"/>
              <w:rPr>
                <w:rFonts w:ascii="Calibri" w:hAnsi="Calibri"/>
                <w:b/>
                <w:szCs w:val="18"/>
              </w:rPr>
            </w:pPr>
            <w:r w:rsidRPr="002A56AC">
              <w:rPr>
                <w:rFonts w:ascii="Calibri" w:hAnsi="Calibri"/>
                <w:b/>
                <w:szCs w:val="18"/>
              </w:rPr>
              <w:t>$24,999</w:t>
            </w:r>
          </w:p>
        </w:tc>
      </w:tr>
      <w:tr w:rsidR="007657A0" w:rsidRPr="00B257FC" w:rsidTr="00C5542A">
        <w:tc>
          <w:tcPr>
            <w:tcW w:w="1548" w:type="dxa"/>
            <w:tcBorders>
              <w:bottom w:val="single" w:sz="4" w:space="0" w:color="auto"/>
            </w:tcBorders>
          </w:tcPr>
          <w:p w:rsidR="007657A0" w:rsidRPr="00B257FC" w:rsidRDefault="007657A0" w:rsidP="00C5542A">
            <w:pPr>
              <w:pStyle w:val="TableText"/>
              <w:rPr>
                <w:rFonts w:ascii="Calibri" w:hAnsi="Calibri"/>
                <w:szCs w:val="18"/>
              </w:rPr>
            </w:pPr>
            <w:r w:rsidRPr="00B257FC">
              <w:rPr>
                <w:rFonts w:ascii="Calibri" w:hAnsi="Calibri"/>
                <w:szCs w:val="18"/>
              </w:rPr>
              <w:t>High availability</w:t>
            </w:r>
          </w:p>
        </w:tc>
        <w:tc>
          <w:tcPr>
            <w:tcW w:w="2250" w:type="dxa"/>
          </w:tcPr>
          <w:p w:rsidR="007657A0" w:rsidRPr="002A56AC" w:rsidRDefault="007657A0" w:rsidP="00C5542A">
            <w:pPr>
              <w:pStyle w:val="TableText"/>
              <w:rPr>
                <w:rFonts w:ascii="Calibri" w:hAnsi="Calibri"/>
                <w:szCs w:val="18"/>
              </w:rPr>
            </w:pPr>
            <w:r w:rsidRPr="002A56AC">
              <w:rPr>
                <w:rFonts w:ascii="Calibri" w:hAnsi="Calibri"/>
                <w:szCs w:val="18"/>
              </w:rPr>
              <w:t xml:space="preserve">Additional </w:t>
            </w:r>
            <w:r>
              <w:rPr>
                <w:rFonts w:ascii="Calibri" w:hAnsi="Calibri"/>
                <w:szCs w:val="18"/>
              </w:rPr>
              <w:t xml:space="preserve">passive </w:t>
            </w:r>
            <w:r w:rsidRPr="002A56AC">
              <w:rPr>
                <w:rFonts w:ascii="Calibri" w:hAnsi="Calibri"/>
                <w:szCs w:val="18"/>
              </w:rPr>
              <w:t>database instance for high availability</w:t>
            </w:r>
          </w:p>
        </w:tc>
        <w:tc>
          <w:tcPr>
            <w:tcW w:w="1080" w:type="dxa"/>
          </w:tcPr>
          <w:p w:rsidR="007657A0" w:rsidRPr="002A56AC" w:rsidRDefault="003F4C0C" w:rsidP="00C5542A">
            <w:pPr>
              <w:pStyle w:val="TableText"/>
              <w:jc w:val="right"/>
              <w:rPr>
                <w:rFonts w:ascii="Calibri" w:hAnsi="Calibri"/>
                <w:szCs w:val="18"/>
              </w:rPr>
            </w:pPr>
            <w:r>
              <w:rPr>
                <w:rFonts w:ascii="Calibri" w:hAnsi="Calibri"/>
                <w:szCs w:val="18"/>
              </w:rPr>
              <w:t>$112</w:t>
            </w:r>
            <w:r w:rsidR="007657A0" w:rsidRPr="002A56AC">
              <w:rPr>
                <w:rFonts w:ascii="Calibri" w:hAnsi="Calibri"/>
                <w:szCs w:val="18"/>
              </w:rPr>
              <w:t>,000</w:t>
            </w:r>
          </w:p>
        </w:tc>
        <w:tc>
          <w:tcPr>
            <w:tcW w:w="2340" w:type="dxa"/>
          </w:tcPr>
          <w:p w:rsidR="007657A0" w:rsidRPr="002A56AC" w:rsidRDefault="007657A0" w:rsidP="00C5542A">
            <w:pPr>
              <w:pStyle w:val="TableText"/>
              <w:rPr>
                <w:rFonts w:ascii="Calibri" w:hAnsi="Calibri"/>
                <w:szCs w:val="18"/>
              </w:rPr>
            </w:pPr>
            <w:r w:rsidRPr="002A56AC">
              <w:rPr>
                <w:rFonts w:ascii="Calibri" w:hAnsi="Calibri"/>
                <w:szCs w:val="18"/>
              </w:rPr>
              <w:t xml:space="preserve">Additional </w:t>
            </w:r>
            <w:r>
              <w:rPr>
                <w:rFonts w:ascii="Calibri" w:hAnsi="Calibri"/>
                <w:szCs w:val="18"/>
              </w:rPr>
              <w:t xml:space="preserve">passive </w:t>
            </w:r>
            <w:r w:rsidRPr="002A56AC">
              <w:rPr>
                <w:rFonts w:ascii="Calibri" w:hAnsi="Calibri"/>
                <w:szCs w:val="18"/>
              </w:rPr>
              <w:t>database instance</w:t>
            </w:r>
            <w:r>
              <w:rPr>
                <w:rFonts w:ascii="Calibri" w:hAnsi="Calibri"/>
                <w:szCs w:val="18"/>
              </w:rPr>
              <w:t xml:space="preserve"> for high availability</w:t>
            </w:r>
          </w:p>
        </w:tc>
        <w:tc>
          <w:tcPr>
            <w:tcW w:w="1080" w:type="dxa"/>
          </w:tcPr>
          <w:p w:rsidR="007657A0" w:rsidRPr="002A56AC" w:rsidRDefault="007657A0" w:rsidP="00C5542A">
            <w:pPr>
              <w:pStyle w:val="TableText"/>
              <w:jc w:val="right"/>
              <w:rPr>
                <w:rFonts w:ascii="Calibri" w:hAnsi="Calibri"/>
                <w:szCs w:val="18"/>
              </w:rPr>
            </w:pPr>
            <w:r w:rsidRPr="002A56AC">
              <w:rPr>
                <w:rFonts w:ascii="Calibri" w:hAnsi="Calibri"/>
                <w:szCs w:val="18"/>
              </w:rPr>
              <w:t>Included</w:t>
            </w:r>
          </w:p>
        </w:tc>
      </w:tr>
      <w:tr w:rsidR="007657A0" w:rsidRPr="00B257FC" w:rsidTr="00C5542A">
        <w:tc>
          <w:tcPr>
            <w:tcW w:w="1548" w:type="dxa"/>
            <w:tcBorders>
              <w:bottom w:val="single" w:sz="4" w:space="0" w:color="auto"/>
            </w:tcBorders>
          </w:tcPr>
          <w:p w:rsidR="007657A0" w:rsidRPr="00B257FC" w:rsidRDefault="007657A0" w:rsidP="00C5542A">
            <w:pPr>
              <w:pStyle w:val="TableText"/>
              <w:rPr>
                <w:rFonts w:ascii="Calibri" w:hAnsi="Calibri"/>
                <w:b/>
                <w:szCs w:val="18"/>
              </w:rPr>
            </w:pPr>
            <w:r w:rsidRPr="00B257FC">
              <w:rPr>
                <w:rFonts w:ascii="Calibri" w:hAnsi="Calibri"/>
                <w:b/>
                <w:szCs w:val="18"/>
              </w:rPr>
              <w:t>Subtotal</w:t>
            </w:r>
          </w:p>
        </w:tc>
        <w:tc>
          <w:tcPr>
            <w:tcW w:w="2250" w:type="dxa"/>
          </w:tcPr>
          <w:p w:rsidR="007657A0" w:rsidRPr="002A56AC" w:rsidRDefault="007657A0" w:rsidP="00C5542A">
            <w:pPr>
              <w:pStyle w:val="TableText"/>
              <w:rPr>
                <w:rFonts w:ascii="Calibri" w:hAnsi="Calibri"/>
                <w:szCs w:val="18"/>
              </w:rPr>
            </w:pPr>
          </w:p>
        </w:tc>
        <w:tc>
          <w:tcPr>
            <w:tcW w:w="1080" w:type="dxa"/>
          </w:tcPr>
          <w:p w:rsidR="007657A0" w:rsidRPr="002A56AC" w:rsidRDefault="003F4C0C" w:rsidP="00C5542A">
            <w:pPr>
              <w:pStyle w:val="TableText"/>
              <w:jc w:val="right"/>
              <w:rPr>
                <w:rFonts w:ascii="Calibri" w:hAnsi="Calibri"/>
                <w:b/>
                <w:szCs w:val="18"/>
              </w:rPr>
            </w:pPr>
            <w:r>
              <w:rPr>
                <w:rFonts w:ascii="Calibri" w:hAnsi="Calibri"/>
                <w:b/>
                <w:szCs w:val="18"/>
              </w:rPr>
              <w:t>$224</w:t>
            </w:r>
            <w:r w:rsidR="007657A0" w:rsidRPr="002A56AC">
              <w:rPr>
                <w:rFonts w:ascii="Calibri" w:hAnsi="Calibri"/>
                <w:b/>
                <w:szCs w:val="18"/>
              </w:rPr>
              <w:t>,000</w:t>
            </w:r>
          </w:p>
        </w:tc>
        <w:tc>
          <w:tcPr>
            <w:tcW w:w="2340" w:type="dxa"/>
          </w:tcPr>
          <w:p w:rsidR="007657A0" w:rsidRPr="002A56AC" w:rsidRDefault="007657A0" w:rsidP="00C5542A">
            <w:pPr>
              <w:pStyle w:val="TableText"/>
              <w:rPr>
                <w:rFonts w:ascii="Calibri" w:hAnsi="Calibri"/>
                <w:szCs w:val="18"/>
              </w:rPr>
            </w:pPr>
          </w:p>
        </w:tc>
        <w:tc>
          <w:tcPr>
            <w:tcW w:w="1080" w:type="dxa"/>
          </w:tcPr>
          <w:p w:rsidR="007657A0" w:rsidRPr="002A56AC" w:rsidRDefault="007657A0" w:rsidP="00C5542A">
            <w:pPr>
              <w:pStyle w:val="TableText"/>
              <w:jc w:val="right"/>
              <w:rPr>
                <w:rFonts w:ascii="Calibri" w:hAnsi="Calibri"/>
                <w:b/>
                <w:szCs w:val="18"/>
              </w:rPr>
            </w:pPr>
            <w:r w:rsidRPr="002A56AC">
              <w:rPr>
                <w:rFonts w:ascii="Calibri" w:hAnsi="Calibri"/>
                <w:b/>
                <w:szCs w:val="18"/>
              </w:rPr>
              <w:t>$24,999</w:t>
            </w:r>
          </w:p>
        </w:tc>
      </w:tr>
      <w:tr w:rsidR="007657A0" w:rsidRPr="00B257FC" w:rsidTr="00C5542A">
        <w:tc>
          <w:tcPr>
            <w:tcW w:w="1548" w:type="dxa"/>
            <w:tcBorders>
              <w:bottom w:val="single" w:sz="4" w:space="0" w:color="auto"/>
            </w:tcBorders>
          </w:tcPr>
          <w:p w:rsidR="007657A0" w:rsidRPr="00B257FC" w:rsidRDefault="007657A0" w:rsidP="00C5542A">
            <w:pPr>
              <w:pStyle w:val="TableText"/>
              <w:rPr>
                <w:rFonts w:ascii="Calibri" w:hAnsi="Calibri"/>
                <w:szCs w:val="18"/>
              </w:rPr>
            </w:pPr>
            <w:r w:rsidRPr="00B257FC">
              <w:rPr>
                <w:rFonts w:ascii="Calibri" w:hAnsi="Calibri"/>
                <w:szCs w:val="18"/>
              </w:rPr>
              <w:t>Multicore</w:t>
            </w:r>
          </w:p>
        </w:tc>
        <w:tc>
          <w:tcPr>
            <w:tcW w:w="2250" w:type="dxa"/>
          </w:tcPr>
          <w:p w:rsidR="007657A0" w:rsidRPr="002A56AC" w:rsidRDefault="007657A0" w:rsidP="00C5542A">
            <w:pPr>
              <w:pStyle w:val="TableText"/>
              <w:rPr>
                <w:rFonts w:ascii="Calibri" w:hAnsi="Calibri"/>
                <w:szCs w:val="18"/>
              </w:rPr>
            </w:pPr>
            <w:r w:rsidRPr="002A56AC">
              <w:rPr>
                <w:rFonts w:ascii="Calibri" w:hAnsi="Calibri"/>
                <w:szCs w:val="18"/>
              </w:rPr>
              <w:t>Cost of additional core (quad-core processor)</w:t>
            </w:r>
          </w:p>
        </w:tc>
        <w:tc>
          <w:tcPr>
            <w:tcW w:w="1080" w:type="dxa"/>
          </w:tcPr>
          <w:p w:rsidR="007657A0" w:rsidRPr="002A56AC" w:rsidRDefault="003F4C0C" w:rsidP="00C5542A">
            <w:pPr>
              <w:pStyle w:val="TableText"/>
              <w:jc w:val="right"/>
              <w:rPr>
                <w:rFonts w:ascii="Calibri" w:hAnsi="Calibri"/>
                <w:szCs w:val="18"/>
              </w:rPr>
            </w:pPr>
            <w:r>
              <w:rPr>
                <w:rFonts w:ascii="Calibri" w:hAnsi="Calibri"/>
                <w:szCs w:val="18"/>
              </w:rPr>
              <w:t>$224</w:t>
            </w:r>
            <w:r w:rsidR="007657A0" w:rsidRPr="002A56AC">
              <w:rPr>
                <w:rFonts w:ascii="Calibri" w:hAnsi="Calibri"/>
                <w:szCs w:val="18"/>
              </w:rPr>
              <w:t>,000</w:t>
            </w:r>
          </w:p>
        </w:tc>
        <w:tc>
          <w:tcPr>
            <w:tcW w:w="2340" w:type="dxa"/>
          </w:tcPr>
          <w:p w:rsidR="007657A0" w:rsidRPr="002A56AC" w:rsidRDefault="007657A0" w:rsidP="00C5542A">
            <w:pPr>
              <w:pStyle w:val="TableText"/>
              <w:rPr>
                <w:rFonts w:ascii="Calibri" w:hAnsi="Calibri"/>
                <w:szCs w:val="18"/>
              </w:rPr>
            </w:pPr>
            <w:r w:rsidRPr="002A56AC">
              <w:rPr>
                <w:rFonts w:ascii="Calibri" w:hAnsi="Calibri"/>
                <w:szCs w:val="18"/>
              </w:rPr>
              <w:t>Cost of additional core</w:t>
            </w:r>
          </w:p>
        </w:tc>
        <w:tc>
          <w:tcPr>
            <w:tcW w:w="1080" w:type="dxa"/>
          </w:tcPr>
          <w:p w:rsidR="007657A0" w:rsidRPr="002A56AC" w:rsidRDefault="007657A0" w:rsidP="00C5542A">
            <w:pPr>
              <w:pStyle w:val="TableText"/>
              <w:jc w:val="right"/>
              <w:rPr>
                <w:rFonts w:ascii="Calibri" w:hAnsi="Calibri"/>
                <w:szCs w:val="18"/>
              </w:rPr>
            </w:pPr>
            <w:r w:rsidRPr="002A56AC">
              <w:rPr>
                <w:rFonts w:ascii="Calibri" w:hAnsi="Calibri"/>
                <w:szCs w:val="18"/>
              </w:rPr>
              <w:t>Included</w:t>
            </w:r>
          </w:p>
        </w:tc>
      </w:tr>
      <w:tr w:rsidR="007657A0" w:rsidRPr="00B257FC" w:rsidTr="00C5542A">
        <w:tc>
          <w:tcPr>
            <w:tcW w:w="1548" w:type="dxa"/>
            <w:tcBorders>
              <w:bottom w:val="single" w:sz="4" w:space="0" w:color="auto"/>
            </w:tcBorders>
          </w:tcPr>
          <w:p w:rsidR="007657A0" w:rsidRPr="00B257FC" w:rsidRDefault="007657A0" w:rsidP="00C5542A">
            <w:pPr>
              <w:pStyle w:val="TableText"/>
              <w:rPr>
                <w:rFonts w:ascii="Calibri" w:hAnsi="Calibri"/>
                <w:b/>
                <w:szCs w:val="18"/>
              </w:rPr>
            </w:pPr>
            <w:r w:rsidRPr="00B257FC">
              <w:rPr>
                <w:rFonts w:ascii="Calibri" w:hAnsi="Calibri"/>
                <w:b/>
                <w:szCs w:val="18"/>
              </w:rPr>
              <w:t xml:space="preserve">Total Enterprise Cost </w:t>
            </w:r>
          </w:p>
        </w:tc>
        <w:tc>
          <w:tcPr>
            <w:tcW w:w="2250" w:type="dxa"/>
          </w:tcPr>
          <w:p w:rsidR="007657A0" w:rsidRPr="002A56AC" w:rsidRDefault="007657A0" w:rsidP="00C5542A">
            <w:pPr>
              <w:pStyle w:val="TableText"/>
              <w:rPr>
                <w:rFonts w:ascii="Calibri" w:hAnsi="Calibri"/>
                <w:szCs w:val="18"/>
              </w:rPr>
            </w:pPr>
          </w:p>
        </w:tc>
        <w:tc>
          <w:tcPr>
            <w:tcW w:w="1080" w:type="dxa"/>
          </w:tcPr>
          <w:p w:rsidR="007657A0" w:rsidRPr="002A56AC" w:rsidRDefault="007657A0" w:rsidP="00C5542A">
            <w:pPr>
              <w:pStyle w:val="TableText"/>
              <w:jc w:val="right"/>
              <w:rPr>
                <w:rFonts w:ascii="Calibri" w:hAnsi="Calibri"/>
                <w:b/>
                <w:szCs w:val="18"/>
              </w:rPr>
            </w:pPr>
            <w:r w:rsidRPr="002A56AC">
              <w:rPr>
                <w:rFonts w:ascii="Calibri" w:hAnsi="Calibri"/>
                <w:b/>
                <w:szCs w:val="18"/>
              </w:rPr>
              <w:t>$4</w:t>
            </w:r>
            <w:r w:rsidR="003F4C0C">
              <w:rPr>
                <w:rFonts w:ascii="Calibri" w:hAnsi="Calibri"/>
                <w:b/>
                <w:szCs w:val="18"/>
              </w:rPr>
              <w:t>48</w:t>
            </w:r>
            <w:r w:rsidRPr="002A56AC">
              <w:rPr>
                <w:rFonts w:ascii="Calibri" w:hAnsi="Calibri"/>
                <w:b/>
                <w:szCs w:val="18"/>
              </w:rPr>
              <w:t>,000</w:t>
            </w:r>
          </w:p>
        </w:tc>
        <w:tc>
          <w:tcPr>
            <w:tcW w:w="2340" w:type="dxa"/>
          </w:tcPr>
          <w:p w:rsidR="007657A0" w:rsidRPr="00E409B2" w:rsidRDefault="007657A0" w:rsidP="00C5542A">
            <w:pPr>
              <w:pStyle w:val="TableText"/>
              <w:rPr>
                <w:rFonts w:ascii="Calibri" w:hAnsi="Calibri"/>
                <w:b/>
                <w:szCs w:val="18"/>
              </w:rPr>
            </w:pPr>
          </w:p>
        </w:tc>
        <w:tc>
          <w:tcPr>
            <w:tcW w:w="1080" w:type="dxa"/>
          </w:tcPr>
          <w:p w:rsidR="007657A0" w:rsidRPr="002A56AC" w:rsidRDefault="007657A0" w:rsidP="00C5542A">
            <w:pPr>
              <w:pStyle w:val="TableText"/>
              <w:jc w:val="right"/>
              <w:rPr>
                <w:rFonts w:ascii="Calibri" w:hAnsi="Calibri"/>
                <w:b/>
                <w:szCs w:val="18"/>
              </w:rPr>
            </w:pPr>
            <w:r w:rsidRPr="002A56AC">
              <w:rPr>
                <w:rFonts w:ascii="Calibri" w:hAnsi="Calibri"/>
                <w:b/>
                <w:szCs w:val="18"/>
              </w:rPr>
              <w:t>$24,999</w:t>
            </w:r>
          </w:p>
        </w:tc>
      </w:tr>
    </w:tbl>
    <w:p w:rsidR="00D53D4C" w:rsidRDefault="00D53D4C" w:rsidP="00316242">
      <w:pPr>
        <w:pStyle w:val="Figure"/>
      </w:pPr>
    </w:p>
    <w:p w:rsidR="00316242" w:rsidRDefault="00D53D4C" w:rsidP="00316242">
      <w:pPr>
        <w:pStyle w:val="Figure"/>
      </w:pPr>
      <w:r>
        <w:rPr>
          <w:noProof/>
        </w:rPr>
        <w:drawing>
          <wp:inline distT="0" distB="0" distL="0" distR="0">
            <wp:extent cx="5512241" cy="2190750"/>
            <wp:effectExtent l="1905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5512241" cy="2190750"/>
                    </a:xfrm>
                    <a:prstGeom prst="rect">
                      <a:avLst/>
                    </a:prstGeom>
                    <a:noFill/>
                  </pic:spPr>
                </pic:pic>
              </a:graphicData>
            </a:graphic>
          </wp:inline>
        </w:drawing>
      </w:r>
    </w:p>
    <w:p w:rsidR="003F4C0C" w:rsidRDefault="003F4C0C" w:rsidP="00855897">
      <w:pPr>
        <w:pStyle w:val="AlertText"/>
        <w:rPr>
          <w:b/>
          <w:bCs/>
          <w:sz w:val="18"/>
          <w:szCs w:val="18"/>
        </w:rPr>
      </w:pPr>
    </w:p>
    <w:p w:rsidR="007657A0" w:rsidRPr="00E309F7" w:rsidRDefault="007657A0" w:rsidP="00855897">
      <w:pPr>
        <w:pStyle w:val="AlertText"/>
        <w:rPr>
          <w:sz w:val="18"/>
          <w:szCs w:val="18"/>
        </w:rPr>
      </w:pPr>
      <w:r w:rsidRPr="00E309F7">
        <w:rPr>
          <w:b/>
          <w:bCs/>
          <w:sz w:val="18"/>
          <w:szCs w:val="18"/>
        </w:rPr>
        <w:t>Note</w:t>
      </w:r>
      <w:r w:rsidR="00C64A0A" w:rsidRPr="00E309F7">
        <w:rPr>
          <w:b/>
          <w:bCs/>
          <w:sz w:val="18"/>
          <w:szCs w:val="18"/>
        </w:rPr>
        <w:t>   </w:t>
      </w:r>
      <w:r w:rsidRPr="00E309F7">
        <w:rPr>
          <w:sz w:val="18"/>
          <w:szCs w:val="18"/>
        </w:rPr>
        <w:t xml:space="preserve">All prices are per processor and reflect pricing for purchases within the United States and are in United States dollars. Pricing based on information available on vendor Web sites. </w:t>
      </w:r>
      <w:r w:rsidRPr="00E309F7">
        <w:rPr>
          <w:sz w:val="18"/>
          <w:szCs w:val="18"/>
        </w:rPr>
        <w:lastRenderedPageBreak/>
        <w:t>These are the cost savings per processor. The savings increase when additional processors are added.</w:t>
      </w:r>
    </w:p>
    <w:p w:rsidR="007657A0" w:rsidRDefault="007657A0" w:rsidP="007657A0">
      <w:pPr>
        <w:pStyle w:val="Text"/>
        <w:rPr>
          <w:rFonts w:cs="Arial"/>
          <w:bCs/>
        </w:rPr>
      </w:pPr>
      <w:r w:rsidRPr="007657A0">
        <w:rPr>
          <w:rFonts w:cs="Arial"/>
          <w:bCs/>
        </w:rPr>
        <w:t>For more information and comparison</w:t>
      </w:r>
      <w:r w:rsidR="004F406A">
        <w:rPr>
          <w:rFonts w:cs="Arial"/>
          <w:bCs/>
        </w:rPr>
        <w:t>s</w:t>
      </w:r>
      <w:r w:rsidRPr="007657A0">
        <w:rPr>
          <w:rFonts w:cs="Arial"/>
          <w:bCs/>
        </w:rPr>
        <w:t xml:space="preserve"> between Oracle and SQL</w:t>
      </w:r>
      <w:r w:rsidR="00855897">
        <w:rPr>
          <w:bCs/>
        </w:rPr>
        <w:t> </w:t>
      </w:r>
      <w:r w:rsidRPr="007657A0">
        <w:rPr>
          <w:rFonts w:cs="Arial"/>
          <w:bCs/>
        </w:rPr>
        <w:t>Server</w:t>
      </w:r>
      <w:r w:rsidR="00855897">
        <w:rPr>
          <w:rFonts w:cs="Arial"/>
          <w:bCs/>
        </w:rPr>
        <w:t>, see</w:t>
      </w:r>
      <w:r w:rsidRPr="007657A0">
        <w:rPr>
          <w:rFonts w:cs="Arial"/>
          <w:bCs/>
        </w:rPr>
        <w:t xml:space="preserve"> </w:t>
      </w:r>
      <w:hyperlink r:id="rId31" w:history="1">
        <w:r w:rsidR="00E309F7">
          <w:rPr>
            <w:rStyle w:val="Hyperlink"/>
            <w:rFonts w:cs="Arial"/>
            <w:iCs/>
          </w:rPr>
          <w:t>Comparing SQL Server 2005 and Oracle</w:t>
        </w:r>
      </w:hyperlink>
      <w:r w:rsidRPr="007657A0">
        <w:rPr>
          <w:rFonts w:cs="Arial"/>
          <w:bCs/>
        </w:rPr>
        <w:t>.</w:t>
      </w:r>
    </w:p>
    <w:p w:rsidR="007657A0" w:rsidRDefault="007657A0" w:rsidP="0032463F">
      <w:pPr>
        <w:pStyle w:val="Heading5"/>
      </w:pPr>
      <w:bookmarkStart w:id="16" w:name="_Toc176937165"/>
      <w:bookmarkStart w:id="17" w:name="_Toc178405167"/>
      <w:r w:rsidRPr="00C95874">
        <w:t>Microsoft SQL Server 2005 and IB</w:t>
      </w:r>
      <w:r w:rsidRPr="00306107">
        <w:t>M DB2 9</w:t>
      </w:r>
      <w:bookmarkEnd w:id="16"/>
      <w:bookmarkEnd w:id="17"/>
    </w:p>
    <w:p w:rsidR="00D238DE" w:rsidRPr="007657A0" w:rsidRDefault="007657A0" w:rsidP="007657A0">
      <w:pPr>
        <w:pStyle w:val="Text"/>
        <w:rPr>
          <w:bCs/>
        </w:rPr>
      </w:pPr>
      <w:r w:rsidRPr="007657A0">
        <w:rPr>
          <w:bCs/>
        </w:rPr>
        <w:t xml:space="preserve">Although the base prices for </w:t>
      </w:r>
      <w:smartTag w:uri="urn:schemas-microsoft-com:office:smarttags" w:element="stockticker">
        <w:r w:rsidRPr="007657A0">
          <w:rPr>
            <w:bCs/>
          </w:rPr>
          <w:t>IBM</w:t>
        </w:r>
      </w:smartTag>
      <w:r w:rsidRPr="007657A0">
        <w:rPr>
          <w:bCs/>
        </w:rPr>
        <w:t xml:space="preserve"> DB2 version</w:t>
      </w:r>
      <w:r w:rsidR="004F406A">
        <w:rPr>
          <w:bCs/>
        </w:rPr>
        <w:t> </w:t>
      </w:r>
      <w:r w:rsidRPr="007657A0">
        <w:rPr>
          <w:bCs/>
        </w:rPr>
        <w:t>9 Enterprise Server Edition and SQL Server</w:t>
      </w:r>
      <w:r w:rsidR="004F406A">
        <w:rPr>
          <w:bCs/>
        </w:rPr>
        <w:t> </w:t>
      </w:r>
      <w:r w:rsidRPr="007657A0">
        <w:rPr>
          <w:bCs/>
        </w:rPr>
        <w:t>2005 Enterprise Edition are comparable, IBM charges considerably more for important add-on features such as online analytical processing (OLAP), data transformation, and data mining, items that Microsoft includes as standard product features in SQL Server</w:t>
      </w:r>
      <w:r w:rsidR="004F406A">
        <w:rPr>
          <w:bCs/>
        </w:rPr>
        <w:t> </w:t>
      </w:r>
      <w:r w:rsidRPr="007657A0">
        <w:rPr>
          <w:bCs/>
        </w:rPr>
        <w:t>2005. Even for the base licensing, IBM</w:t>
      </w:r>
      <w:r w:rsidR="004F406A">
        <w:rPr>
          <w:bCs/>
        </w:rPr>
        <w:t> </w:t>
      </w:r>
      <w:r w:rsidRPr="007657A0">
        <w:rPr>
          <w:bCs/>
        </w:rPr>
        <w:t xml:space="preserve">DB2 raised </w:t>
      </w:r>
      <w:r w:rsidR="004F406A">
        <w:rPr>
          <w:bCs/>
        </w:rPr>
        <w:t>the</w:t>
      </w:r>
      <w:r w:rsidRPr="007657A0">
        <w:rPr>
          <w:bCs/>
        </w:rPr>
        <w:t xml:space="preserve"> price for version</w:t>
      </w:r>
      <w:r w:rsidR="004F406A">
        <w:rPr>
          <w:bCs/>
        </w:rPr>
        <w:t> </w:t>
      </w:r>
      <w:r w:rsidRPr="007657A0">
        <w:rPr>
          <w:bCs/>
        </w:rPr>
        <w:t>9 to $36,400 from $25,000 per processor. The following table and graph compare the prices differences between SQL Server</w:t>
      </w:r>
      <w:r w:rsidR="004F406A">
        <w:rPr>
          <w:bCs/>
        </w:rPr>
        <w:t> </w:t>
      </w:r>
      <w:r w:rsidRPr="007657A0">
        <w:rPr>
          <w:bCs/>
        </w:rPr>
        <w:t>2005 and DB2</w:t>
      </w:r>
      <w:r w:rsidR="004F406A">
        <w:rPr>
          <w:bCs/>
        </w:rPr>
        <w:t> </w:t>
      </w:r>
      <w:r w:rsidRPr="007657A0">
        <w:rPr>
          <w:bCs/>
        </w:rPr>
        <w:t>9. As before, these price differences are accentuated with considering multicore processors.</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520"/>
        <w:gridCol w:w="990"/>
        <w:gridCol w:w="2160"/>
        <w:gridCol w:w="1080"/>
      </w:tblGrid>
      <w:tr w:rsidR="007657A0" w:rsidRPr="00B257FC" w:rsidTr="00C5542A">
        <w:trPr>
          <w:tblHeader/>
        </w:trPr>
        <w:tc>
          <w:tcPr>
            <w:tcW w:w="1548" w:type="dxa"/>
            <w:shd w:val="pct20" w:color="auto" w:fill="auto"/>
          </w:tcPr>
          <w:p w:rsidR="007657A0" w:rsidRPr="00B257FC" w:rsidRDefault="007657A0" w:rsidP="00C5542A">
            <w:pPr>
              <w:pStyle w:val="TableHeading"/>
              <w:rPr>
                <w:rFonts w:ascii="Calibri" w:hAnsi="Calibri"/>
                <w:sz w:val="18"/>
                <w:szCs w:val="18"/>
              </w:rPr>
            </w:pPr>
          </w:p>
        </w:tc>
        <w:tc>
          <w:tcPr>
            <w:tcW w:w="2520" w:type="dxa"/>
            <w:shd w:val="pct20" w:color="auto" w:fill="auto"/>
          </w:tcPr>
          <w:p w:rsidR="007657A0" w:rsidRPr="00B257FC" w:rsidRDefault="007657A0" w:rsidP="00C5542A">
            <w:pPr>
              <w:pStyle w:val="TableHeading"/>
              <w:jc w:val="center"/>
              <w:rPr>
                <w:rFonts w:ascii="Calibri" w:hAnsi="Calibri"/>
                <w:sz w:val="18"/>
                <w:szCs w:val="18"/>
              </w:rPr>
            </w:pPr>
            <w:smartTag w:uri="urn:schemas-microsoft-com:office:smarttags" w:element="stockticker">
              <w:r w:rsidRPr="00B257FC">
                <w:rPr>
                  <w:rFonts w:ascii="Calibri" w:hAnsi="Calibri"/>
                  <w:sz w:val="18"/>
                  <w:szCs w:val="18"/>
                </w:rPr>
                <w:t>IBM</w:t>
              </w:r>
            </w:smartTag>
            <w:r w:rsidRPr="00B257FC">
              <w:rPr>
                <w:rFonts w:ascii="Calibri" w:hAnsi="Calibri"/>
                <w:sz w:val="18"/>
                <w:szCs w:val="18"/>
              </w:rPr>
              <w:t xml:space="preserve"> DB2 version 9</w:t>
            </w:r>
          </w:p>
        </w:tc>
        <w:tc>
          <w:tcPr>
            <w:tcW w:w="990" w:type="dxa"/>
            <w:shd w:val="pct20" w:color="auto" w:fill="auto"/>
          </w:tcPr>
          <w:p w:rsidR="007657A0" w:rsidRPr="00B257FC" w:rsidRDefault="007657A0" w:rsidP="00C5542A">
            <w:pPr>
              <w:pStyle w:val="TableHeading"/>
              <w:jc w:val="center"/>
              <w:rPr>
                <w:rFonts w:ascii="Calibri" w:hAnsi="Calibri"/>
                <w:sz w:val="18"/>
                <w:szCs w:val="18"/>
              </w:rPr>
            </w:pPr>
          </w:p>
        </w:tc>
        <w:tc>
          <w:tcPr>
            <w:tcW w:w="2160" w:type="dxa"/>
            <w:shd w:val="pct20" w:color="auto" w:fill="auto"/>
          </w:tcPr>
          <w:p w:rsidR="007657A0" w:rsidRPr="00B257FC" w:rsidRDefault="007657A0" w:rsidP="00C5542A">
            <w:pPr>
              <w:pStyle w:val="TableHeading"/>
              <w:jc w:val="center"/>
              <w:rPr>
                <w:rFonts w:ascii="Calibri" w:hAnsi="Calibri"/>
                <w:sz w:val="18"/>
                <w:szCs w:val="18"/>
              </w:rPr>
            </w:pPr>
            <w:r w:rsidRPr="00B257FC">
              <w:rPr>
                <w:rFonts w:ascii="Calibri" w:hAnsi="Calibri"/>
                <w:sz w:val="18"/>
                <w:szCs w:val="18"/>
              </w:rPr>
              <w:t>Microsoft SQL Server 2005</w:t>
            </w:r>
          </w:p>
        </w:tc>
        <w:tc>
          <w:tcPr>
            <w:tcW w:w="1080" w:type="dxa"/>
            <w:shd w:val="pct20" w:color="auto" w:fill="auto"/>
          </w:tcPr>
          <w:p w:rsidR="007657A0" w:rsidRPr="00B257FC" w:rsidRDefault="007657A0" w:rsidP="00C5542A">
            <w:pPr>
              <w:pStyle w:val="TableHeading"/>
              <w:rPr>
                <w:rFonts w:ascii="Calibri" w:hAnsi="Calibri"/>
                <w:sz w:val="18"/>
                <w:szCs w:val="18"/>
              </w:rPr>
            </w:pPr>
          </w:p>
        </w:tc>
      </w:tr>
      <w:tr w:rsidR="007657A0" w:rsidRPr="00B257FC" w:rsidTr="00C5542A">
        <w:tc>
          <w:tcPr>
            <w:tcW w:w="1548" w:type="dxa"/>
          </w:tcPr>
          <w:p w:rsidR="007657A0" w:rsidRPr="00B257FC" w:rsidRDefault="007657A0" w:rsidP="00C5542A">
            <w:pPr>
              <w:pStyle w:val="TableText"/>
              <w:rPr>
                <w:rFonts w:ascii="Calibri" w:hAnsi="Calibri"/>
                <w:bCs/>
                <w:szCs w:val="18"/>
              </w:rPr>
            </w:pPr>
            <w:r>
              <w:rPr>
                <w:rFonts w:ascii="Calibri" w:hAnsi="Calibri"/>
                <w:szCs w:val="18"/>
              </w:rPr>
              <w:t>Database Components</w:t>
            </w:r>
          </w:p>
        </w:tc>
        <w:tc>
          <w:tcPr>
            <w:tcW w:w="2520" w:type="dxa"/>
          </w:tcPr>
          <w:p w:rsidR="007657A0" w:rsidRPr="006C2782" w:rsidRDefault="007657A0" w:rsidP="00C5542A">
            <w:pPr>
              <w:pStyle w:val="TableText"/>
              <w:rPr>
                <w:rFonts w:ascii="Calibri" w:hAnsi="Calibri"/>
                <w:szCs w:val="18"/>
              </w:rPr>
            </w:pPr>
            <w:r w:rsidRPr="006C2782">
              <w:rPr>
                <w:rFonts w:ascii="Calibri" w:hAnsi="Calibri"/>
                <w:szCs w:val="18"/>
              </w:rPr>
              <w:t>Enterprise Edition</w:t>
            </w:r>
          </w:p>
        </w:tc>
        <w:tc>
          <w:tcPr>
            <w:tcW w:w="990" w:type="dxa"/>
            <w:vAlign w:val="bottom"/>
          </w:tcPr>
          <w:p w:rsidR="007657A0" w:rsidRPr="006C2782" w:rsidRDefault="007657A0" w:rsidP="00C5542A">
            <w:pPr>
              <w:pStyle w:val="TableText"/>
              <w:jc w:val="right"/>
              <w:rPr>
                <w:rFonts w:ascii="Calibri" w:hAnsi="Calibri"/>
                <w:szCs w:val="18"/>
              </w:rPr>
            </w:pPr>
            <w:r w:rsidRPr="006C2782">
              <w:rPr>
                <w:rFonts w:ascii="Calibri" w:hAnsi="Calibri"/>
                <w:szCs w:val="18"/>
              </w:rPr>
              <w:t>$36,400</w:t>
            </w:r>
          </w:p>
        </w:tc>
        <w:tc>
          <w:tcPr>
            <w:tcW w:w="2160" w:type="dxa"/>
          </w:tcPr>
          <w:p w:rsidR="007657A0" w:rsidRPr="006C2782" w:rsidRDefault="007657A0" w:rsidP="00C5542A">
            <w:pPr>
              <w:pStyle w:val="TableText"/>
              <w:rPr>
                <w:rFonts w:ascii="Calibri" w:hAnsi="Calibri"/>
                <w:szCs w:val="18"/>
              </w:rPr>
            </w:pPr>
            <w:r w:rsidRPr="006C2782">
              <w:rPr>
                <w:rFonts w:ascii="Calibri" w:hAnsi="Calibri"/>
                <w:szCs w:val="18"/>
              </w:rPr>
              <w:t>Enterprise Edition</w:t>
            </w:r>
          </w:p>
        </w:tc>
        <w:tc>
          <w:tcPr>
            <w:tcW w:w="1080" w:type="dxa"/>
            <w:vAlign w:val="bottom"/>
          </w:tcPr>
          <w:p w:rsidR="007657A0" w:rsidRPr="00B257FC" w:rsidRDefault="007657A0" w:rsidP="00C5542A">
            <w:pPr>
              <w:pStyle w:val="TableText"/>
              <w:jc w:val="right"/>
              <w:rPr>
                <w:rFonts w:ascii="Calibri" w:hAnsi="Calibri"/>
                <w:szCs w:val="18"/>
              </w:rPr>
            </w:pPr>
            <w:r w:rsidRPr="00B257FC">
              <w:rPr>
                <w:rFonts w:ascii="Calibri" w:hAnsi="Calibri"/>
                <w:szCs w:val="18"/>
              </w:rPr>
              <w:t>$24,999</w:t>
            </w:r>
          </w:p>
        </w:tc>
      </w:tr>
      <w:tr w:rsidR="007657A0" w:rsidRPr="00B257FC" w:rsidTr="00C5542A">
        <w:tc>
          <w:tcPr>
            <w:tcW w:w="1548" w:type="dxa"/>
          </w:tcPr>
          <w:p w:rsidR="007657A0" w:rsidRPr="00B257FC" w:rsidRDefault="007657A0" w:rsidP="00C5542A">
            <w:pPr>
              <w:pStyle w:val="TableText"/>
              <w:rPr>
                <w:rFonts w:ascii="Calibri" w:hAnsi="Calibri"/>
                <w:szCs w:val="18"/>
              </w:rPr>
            </w:pPr>
          </w:p>
        </w:tc>
        <w:tc>
          <w:tcPr>
            <w:tcW w:w="2520" w:type="dxa"/>
          </w:tcPr>
          <w:p w:rsidR="007657A0" w:rsidRPr="006C2782" w:rsidRDefault="007657A0" w:rsidP="00C5542A">
            <w:pPr>
              <w:pStyle w:val="TableText"/>
              <w:rPr>
                <w:rFonts w:ascii="Calibri" w:hAnsi="Calibri"/>
                <w:szCs w:val="18"/>
              </w:rPr>
            </w:pPr>
            <w:r w:rsidRPr="006C2782">
              <w:rPr>
                <w:rFonts w:ascii="Calibri" w:hAnsi="Calibri"/>
                <w:szCs w:val="18"/>
              </w:rPr>
              <w:t>Warehouse Server Add-on</w:t>
            </w:r>
          </w:p>
        </w:tc>
        <w:tc>
          <w:tcPr>
            <w:tcW w:w="990" w:type="dxa"/>
            <w:vAlign w:val="bottom"/>
          </w:tcPr>
          <w:p w:rsidR="007657A0" w:rsidRPr="006C2782" w:rsidRDefault="007657A0" w:rsidP="00C5542A">
            <w:pPr>
              <w:pStyle w:val="TableText"/>
              <w:jc w:val="right"/>
              <w:rPr>
                <w:rFonts w:ascii="Calibri" w:hAnsi="Calibri"/>
                <w:szCs w:val="18"/>
              </w:rPr>
            </w:pPr>
            <w:r w:rsidRPr="006C2782">
              <w:rPr>
                <w:rFonts w:ascii="Calibri" w:hAnsi="Calibri"/>
                <w:szCs w:val="18"/>
              </w:rPr>
              <w:t>$75,000</w:t>
            </w:r>
          </w:p>
        </w:tc>
        <w:tc>
          <w:tcPr>
            <w:tcW w:w="2160" w:type="dxa"/>
          </w:tcPr>
          <w:p w:rsidR="007657A0" w:rsidRPr="006C2782" w:rsidRDefault="007657A0" w:rsidP="00C5542A">
            <w:pPr>
              <w:pStyle w:val="TableText"/>
              <w:rPr>
                <w:rFonts w:ascii="Calibri" w:hAnsi="Calibri"/>
                <w:szCs w:val="18"/>
              </w:rPr>
            </w:pPr>
            <w:r w:rsidRPr="006C2782">
              <w:rPr>
                <w:rFonts w:ascii="Calibri" w:hAnsi="Calibri"/>
                <w:szCs w:val="18"/>
              </w:rPr>
              <w:t>Integration, Reporting and Analysis Services</w:t>
            </w:r>
          </w:p>
        </w:tc>
        <w:tc>
          <w:tcPr>
            <w:tcW w:w="1080" w:type="dxa"/>
            <w:vAlign w:val="bottom"/>
          </w:tcPr>
          <w:p w:rsidR="007657A0" w:rsidRPr="00B257FC" w:rsidRDefault="007657A0" w:rsidP="00C5542A">
            <w:pPr>
              <w:pStyle w:val="TableText"/>
              <w:jc w:val="right"/>
              <w:rPr>
                <w:rFonts w:ascii="Calibri" w:hAnsi="Calibri"/>
                <w:szCs w:val="18"/>
              </w:rPr>
            </w:pPr>
            <w:r w:rsidRPr="00B257FC">
              <w:rPr>
                <w:rFonts w:ascii="Calibri" w:hAnsi="Calibri"/>
                <w:szCs w:val="18"/>
              </w:rPr>
              <w:t>included</w:t>
            </w:r>
          </w:p>
        </w:tc>
      </w:tr>
      <w:tr w:rsidR="007657A0" w:rsidRPr="00B257FC" w:rsidTr="00C5542A">
        <w:tc>
          <w:tcPr>
            <w:tcW w:w="1548" w:type="dxa"/>
          </w:tcPr>
          <w:p w:rsidR="007657A0" w:rsidRPr="00B257FC" w:rsidRDefault="007657A0" w:rsidP="00C5542A">
            <w:pPr>
              <w:pStyle w:val="TableText"/>
              <w:rPr>
                <w:rFonts w:ascii="Calibri" w:hAnsi="Calibri"/>
                <w:b/>
                <w:szCs w:val="18"/>
              </w:rPr>
            </w:pPr>
            <w:r w:rsidRPr="006C2782">
              <w:rPr>
                <w:rFonts w:ascii="Calibri" w:hAnsi="Calibri"/>
                <w:b/>
                <w:szCs w:val="18"/>
              </w:rPr>
              <w:t>Subtotal</w:t>
            </w:r>
          </w:p>
        </w:tc>
        <w:tc>
          <w:tcPr>
            <w:tcW w:w="2520" w:type="dxa"/>
          </w:tcPr>
          <w:p w:rsidR="007657A0" w:rsidRPr="006C2782" w:rsidRDefault="007657A0" w:rsidP="00C5542A">
            <w:pPr>
              <w:pStyle w:val="TableText"/>
              <w:rPr>
                <w:rFonts w:ascii="Calibri" w:hAnsi="Calibri"/>
                <w:b/>
                <w:szCs w:val="18"/>
              </w:rPr>
            </w:pPr>
          </w:p>
        </w:tc>
        <w:tc>
          <w:tcPr>
            <w:tcW w:w="990" w:type="dxa"/>
            <w:vAlign w:val="bottom"/>
          </w:tcPr>
          <w:p w:rsidR="007657A0" w:rsidRPr="006C2782" w:rsidRDefault="007657A0" w:rsidP="00C5542A">
            <w:pPr>
              <w:pStyle w:val="TableText"/>
              <w:jc w:val="right"/>
              <w:rPr>
                <w:rFonts w:ascii="Calibri" w:hAnsi="Calibri"/>
                <w:b/>
                <w:szCs w:val="18"/>
              </w:rPr>
            </w:pPr>
            <w:r w:rsidRPr="006C2782">
              <w:rPr>
                <w:rFonts w:ascii="Calibri" w:hAnsi="Calibri"/>
                <w:b/>
                <w:szCs w:val="18"/>
              </w:rPr>
              <w:t>$111,400</w:t>
            </w:r>
          </w:p>
        </w:tc>
        <w:tc>
          <w:tcPr>
            <w:tcW w:w="2160" w:type="dxa"/>
          </w:tcPr>
          <w:p w:rsidR="007657A0" w:rsidRPr="006C2782" w:rsidRDefault="007657A0" w:rsidP="00C5542A">
            <w:pPr>
              <w:pStyle w:val="TableText"/>
              <w:rPr>
                <w:rFonts w:ascii="Calibri" w:hAnsi="Calibri"/>
                <w:b/>
                <w:szCs w:val="18"/>
              </w:rPr>
            </w:pPr>
          </w:p>
        </w:tc>
        <w:tc>
          <w:tcPr>
            <w:tcW w:w="1080" w:type="dxa"/>
            <w:vAlign w:val="bottom"/>
          </w:tcPr>
          <w:p w:rsidR="007657A0" w:rsidRPr="00B257FC" w:rsidRDefault="007657A0" w:rsidP="00C5542A">
            <w:pPr>
              <w:pStyle w:val="TableText"/>
              <w:jc w:val="right"/>
              <w:rPr>
                <w:rFonts w:ascii="Calibri" w:hAnsi="Calibri"/>
                <w:b/>
                <w:szCs w:val="18"/>
              </w:rPr>
            </w:pPr>
            <w:r w:rsidRPr="00B257FC">
              <w:rPr>
                <w:rFonts w:ascii="Calibri" w:hAnsi="Calibri"/>
                <w:b/>
                <w:szCs w:val="18"/>
              </w:rPr>
              <w:t>$24,999</w:t>
            </w:r>
          </w:p>
        </w:tc>
      </w:tr>
      <w:tr w:rsidR="007657A0" w:rsidRPr="00B257FC" w:rsidTr="00C5542A">
        <w:tc>
          <w:tcPr>
            <w:tcW w:w="1548" w:type="dxa"/>
            <w:vMerge w:val="restart"/>
          </w:tcPr>
          <w:p w:rsidR="007657A0" w:rsidRPr="00B257FC" w:rsidRDefault="007657A0" w:rsidP="00C5542A">
            <w:pPr>
              <w:pStyle w:val="TableText"/>
              <w:rPr>
                <w:rFonts w:ascii="Calibri" w:hAnsi="Calibri"/>
                <w:szCs w:val="18"/>
              </w:rPr>
            </w:pPr>
            <w:r w:rsidRPr="00B257FC">
              <w:rPr>
                <w:rFonts w:ascii="Calibri" w:hAnsi="Calibri"/>
                <w:szCs w:val="18"/>
              </w:rPr>
              <w:t>High Availability</w:t>
            </w:r>
          </w:p>
        </w:tc>
        <w:tc>
          <w:tcPr>
            <w:tcW w:w="2520" w:type="dxa"/>
          </w:tcPr>
          <w:p w:rsidR="007657A0" w:rsidRPr="006C2782" w:rsidRDefault="007657A0" w:rsidP="00C5542A">
            <w:pPr>
              <w:pStyle w:val="TableText"/>
              <w:rPr>
                <w:rFonts w:ascii="Calibri" w:hAnsi="Calibri"/>
                <w:szCs w:val="18"/>
              </w:rPr>
            </w:pPr>
            <w:r w:rsidRPr="006C2782">
              <w:rPr>
                <w:rFonts w:ascii="Calibri" w:hAnsi="Calibri"/>
                <w:szCs w:val="18"/>
              </w:rPr>
              <w:t>Additional database instance for high availability</w:t>
            </w:r>
          </w:p>
        </w:tc>
        <w:tc>
          <w:tcPr>
            <w:tcW w:w="990" w:type="dxa"/>
          </w:tcPr>
          <w:p w:rsidR="007657A0" w:rsidRPr="006C2782" w:rsidRDefault="007657A0" w:rsidP="00C5542A">
            <w:pPr>
              <w:pStyle w:val="TableText"/>
              <w:jc w:val="right"/>
              <w:rPr>
                <w:rFonts w:ascii="Calibri" w:hAnsi="Calibri"/>
                <w:szCs w:val="18"/>
              </w:rPr>
            </w:pPr>
            <w:r w:rsidRPr="006C2782">
              <w:rPr>
                <w:rFonts w:ascii="Calibri" w:hAnsi="Calibri"/>
                <w:szCs w:val="18"/>
              </w:rPr>
              <w:t>$111,400</w:t>
            </w:r>
          </w:p>
        </w:tc>
        <w:tc>
          <w:tcPr>
            <w:tcW w:w="2160" w:type="dxa"/>
          </w:tcPr>
          <w:p w:rsidR="007657A0" w:rsidRPr="006C2782" w:rsidRDefault="007657A0" w:rsidP="00C5542A">
            <w:pPr>
              <w:pStyle w:val="TableText"/>
              <w:rPr>
                <w:rFonts w:ascii="Calibri" w:hAnsi="Calibri"/>
                <w:szCs w:val="18"/>
              </w:rPr>
            </w:pPr>
            <w:r w:rsidRPr="006C2782">
              <w:rPr>
                <w:rFonts w:ascii="Calibri" w:hAnsi="Calibri"/>
                <w:szCs w:val="18"/>
              </w:rPr>
              <w:t xml:space="preserve">Additional database instance </w:t>
            </w:r>
          </w:p>
        </w:tc>
        <w:tc>
          <w:tcPr>
            <w:tcW w:w="1080" w:type="dxa"/>
          </w:tcPr>
          <w:p w:rsidR="007657A0" w:rsidRPr="00B257FC" w:rsidRDefault="007657A0" w:rsidP="00C5542A">
            <w:pPr>
              <w:pStyle w:val="TableText"/>
              <w:jc w:val="right"/>
              <w:rPr>
                <w:rFonts w:ascii="Calibri" w:hAnsi="Calibri"/>
                <w:szCs w:val="18"/>
              </w:rPr>
            </w:pPr>
            <w:r w:rsidRPr="00B257FC">
              <w:rPr>
                <w:rFonts w:ascii="Calibri" w:hAnsi="Calibri"/>
                <w:szCs w:val="18"/>
              </w:rPr>
              <w:t>Included</w:t>
            </w:r>
          </w:p>
        </w:tc>
      </w:tr>
      <w:tr w:rsidR="007657A0" w:rsidRPr="00B257FC" w:rsidTr="00C5542A">
        <w:tc>
          <w:tcPr>
            <w:tcW w:w="1548" w:type="dxa"/>
            <w:vMerge/>
          </w:tcPr>
          <w:p w:rsidR="007657A0" w:rsidRPr="00B257FC" w:rsidRDefault="007657A0" w:rsidP="00C5542A">
            <w:pPr>
              <w:pStyle w:val="TableText"/>
              <w:rPr>
                <w:rFonts w:ascii="Calibri" w:hAnsi="Calibri"/>
                <w:szCs w:val="18"/>
              </w:rPr>
            </w:pPr>
          </w:p>
        </w:tc>
        <w:tc>
          <w:tcPr>
            <w:tcW w:w="2520" w:type="dxa"/>
          </w:tcPr>
          <w:p w:rsidR="007657A0" w:rsidRPr="006C2782" w:rsidRDefault="007657A0" w:rsidP="00C5542A">
            <w:pPr>
              <w:pStyle w:val="TableText"/>
              <w:rPr>
                <w:rFonts w:ascii="Calibri" w:hAnsi="Calibri"/>
                <w:b/>
                <w:szCs w:val="18"/>
              </w:rPr>
            </w:pPr>
            <w:r w:rsidRPr="006C2782">
              <w:rPr>
                <w:rFonts w:ascii="Calibri" w:hAnsi="Calibri"/>
                <w:b/>
                <w:szCs w:val="18"/>
              </w:rPr>
              <w:t>Subtotal</w:t>
            </w:r>
          </w:p>
        </w:tc>
        <w:tc>
          <w:tcPr>
            <w:tcW w:w="990" w:type="dxa"/>
          </w:tcPr>
          <w:p w:rsidR="007657A0" w:rsidRPr="006C2782" w:rsidRDefault="007657A0" w:rsidP="00C5542A">
            <w:pPr>
              <w:pStyle w:val="TableText"/>
              <w:jc w:val="right"/>
              <w:rPr>
                <w:rFonts w:ascii="Calibri" w:hAnsi="Calibri"/>
                <w:b/>
                <w:szCs w:val="18"/>
              </w:rPr>
            </w:pPr>
            <w:r w:rsidRPr="006C2782">
              <w:rPr>
                <w:rFonts w:ascii="Calibri" w:hAnsi="Calibri"/>
                <w:b/>
                <w:szCs w:val="18"/>
              </w:rPr>
              <w:t>$222,800</w:t>
            </w:r>
          </w:p>
        </w:tc>
        <w:tc>
          <w:tcPr>
            <w:tcW w:w="2160" w:type="dxa"/>
          </w:tcPr>
          <w:p w:rsidR="007657A0" w:rsidRPr="006C2782" w:rsidRDefault="007657A0" w:rsidP="00C5542A">
            <w:pPr>
              <w:pStyle w:val="TableText"/>
              <w:rPr>
                <w:rFonts w:ascii="Calibri" w:hAnsi="Calibri"/>
                <w:szCs w:val="18"/>
              </w:rPr>
            </w:pPr>
          </w:p>
        </w:tc>
        <w:tc>
          <w:tcPr>
            <w:tcW w:w="1080" w:type="dxa"/>
          </w:tcPr>
          <w:p w:rsidR="007657A0" w:rsidRPr="00B257FC" w:rsidRDefault="007657A0" w:rsidP="00C5542A">
            <w:pPr>
              <w:pStyle w:val="TableText"/>
              <w:jc w:val="right"/>
              <w:rPr>
                <w:rFonts w:ascii="Calibri" w:hAnsi="Calibri"/>
                <w:szCs w:val="18"/>
              </w:rPr>
            </w:pPr>
            <w:r w:rsidRPr="00B257FC">
              <w:rPr>
                <w:rFonts w:ascii="Calibri" w:hAnsi="Calibri"/>
                <w:b/>
                <w:szCs w:val="18"/>
              </w:rPr>
              <w:t>$24,999</w:t>
            </w:r>
          </w:p>
        </w:tc>
      </w:tr>
      <w:tr w:rsidR="007657A0" w:rsidRPr="00B257FC" w:rsidTr="00C5542A">
        <w:tc>
          <w:tcPr>
            <w:tcW w:w="1548" w:type="dxa"/>
          </w:tcPr>
          <w:p w:rsidR="007657A0" w:rsidRPr="00B257FC" w:rsidRDefault="007657A0" w:rsidP="00C5542A">
            <w:pPr>
              <w:pStyle w:val="TableText"/>
              <w:rPr>
                <w:rFonts w:ascii="Calibri" w:hAnsi="Calibri"/>
                <w:szCs w:val="18"/>
              </w:rPr>
            </w:pPr>
            <w:r w:rsidRPr="00B257FC">
              <w:rPr>
                <w:rFonts w:ascii="Calibri" w:hAnsi="Calibri"/>
                <w:szCs w:val="18"/>
              </w:rPr>
              <w:t>Multicore</w:t>
            </w:r>
          </w:p>
        </w:tc>
        <w:tc>
          <w:tcPr>
            <w:tcW w:w="2520" w:type="dxa"/>
          </w:tcPr>
          <w:p w:rsidR="007657A0" w:rsidRPr="006C2782" w:rsidRDefault="007657A0" w:rsidP="00C5542A">
            <w:pPr>
              <w:pStyle w:val="TableText"/>
              <w:rPr>
                <w:rFonts w:ascii="Calibri" w:hAnsi="Calibri"/>
                <w:b/>
                <w:szCs w:val="18"/>
              </w:rPr>
            </w:pPr>
            <w:r w:rsidRPr="006C2782">
              <w:rPr>
                <w:rFonts w:ascii="Calibri" w:hAnsi="Calibri"/>
                <w:szCs w:val="18"/>
              </w:rPr>
              <w:t>Cost of multiple core (quad-core processor)</w:t>
            </w:r>
          </w:p>
        </w:tc>
        <w:tc>
          <w:tcPr>
            <w:tcW w:w="990" w:type="dxa"/>
          </w:tcPr>
          <w:p w:rsidR="007657A0" w:rsidRPr="006C2782" w:rsidRDefault="007657A0" w:rsidP="00C5542A">
            <w:pPr>
              <w:pStyle w:val="TableText"/>
              <w:jc w:val="right"/>
              <w:rPr>
                <w:rFonts w:ascii="Calibri" w:hAnsi="Calibri"/>
                <w:szCs w:val="18"/>
              </w:rPr>
            </w:pPr>
            <w:r w:rsidRPr="006C2782">
              <w:rPr>
                <w:rFonts w:ascii="Calibri" w:hAnsi="Calibri"/>
                <w:szCs w:val="18"/>
              </w:rPr>
              <w:t>$222,800</w:t>
            </w:r>
          </w:p>
        </w:tc>
        <w:tc>
          <w:tcPr>
            <w:tcW w:w="2160" w:type="dxa"/>
          </w:tcPr>
          <w:p w:rsidR="007657A0" w:rsidRPr="006C2782" w:rsidRDefault="007657A0" w:rsidP="00C5542A">
            <w:pPr>
              <w:pStyle w:val="TableText"/>
              <w:rPr>
                <w:rFonts w:ascii="Calibri" w:hAnsi="Calibri"/>
                <w:szCs w:val="18"/>
              </w:rPr>
            </w:pPr>
            <w:r w:rsidRPr="006C2782">
              <w:rPr>
                <w:rFonts w:ascii="Calibri" w:hAnsi="Calibri"/>
                <w:szCs w:val="18"/>
              </w:rPr>
              <w:t>Cost of additional core</w:t>
            </w:r>
          </w:p>
        </w:tc>
        <w:tc>
          <w:tcPr>
            <w:tcW w:w="1080" w:type="dxa"/>
          </w:tcPr>
          <w:p w:rsidR="007657A0" w:rsidRPr="00B257FC" w:rsidRDefault="007657A0" w:rsidP="00C5542A">
            <w:pPr>
              <w:pStyle w:val="TableText"/>
              <w:jc w:val="right"/>
              <w:rPr>
                <w:rFonts w:ascii="Calibri" w:hAnsi="Calibri"/>
                <w:szCs w:val="18"/>
              </w:rPr>
            </w:pPr>
            <w:r w:rsidRPr="00B257FC">
              <w:rPr>
                <w:rFonts w:ascii="Calibri" w:hAnsi="Calibri"/>
                <w:szCs w:val="18"/>
              </w:rPr>
              <w:t>Included</w:t>
            </w:r>
          </w:p>
        </w:tc>
      </w:tr>
      <w:tr w:rsidR="007657A0" w:rsidRPr="00B257FC" w:rsidTr="00C5542A">
        <w:tc>
          <w:tcPr>
            <w:tcW w:w="1548" w:type="dxa"/>
          </w:tcPr>
          <w:p w:rsidR="007657A0" w:rsidRPr="00B257FC" w:rsidRDefault="007657A0" w:rsidP="00C5542A">
            <w:pPr>
              <w:pStyle w:val="TableText"/>
              <w:rPr>
                <w:rFonts w:ascii="Calibri" w:hAnsi="Calibri"/>
                <w:szCs w:val="18"/>
              </w:rPr>
            </w:pPr>
            <w:r w:rsidRPr="006C2782">
              <w:rPr>
                <w:rFonts w:ascii="Calibri" w:hAnsi="Calibri"/>
                <w:b/>
                <w:szCs w:val="18"/>
              </w:rPr>
              <w:t xml:space="preserve">Total </w:t>
            </w:r>
            <w:r>
              <w:rPr>
                <w:rFonts w:ascii="Calibri" w:hAnsi="Calibri"/>
                <w:b/>
                <w:szCs w:val="18"/>
              </w:rPr>
              <w:t xml:space="preserve">Enterprise </w:t>
            </w:r>
            <w:r w:rsidRPr="006C2782">
              <w:rPr>
                <w:rFonts w:ascii="Calibri" w:hAnsi="Calibri"/>
                <w:b/>
                <w:szCs w:val="18"/>
              </w:rPr>
              <w:t>Cost</w:t>
            </w:r>
          </w:p>
        </w:tc>
        <w:tc>
          <w:tcPr>
            <w:tcW w:w="2520" w:type="dxa"/>
          </w:tcPr>
          <w:p w:rsidR="007657A0" w:rsidRPr="006C2782" w:rsidRDefault="007657A0" w:rsidP="00C5542A">
            <w:pPr>
              <w:pStyle w:val="TableText"/>
              <w:rPr>
                <w:rFonts w:ascii="Calibri" w:hAnsi="Calibri"/>
                <w:b/>
                <w:szCs w:val="18"/>
              </w:rPr>
            </w:pPr>
          </w:p>
        </w:tc>
        <w:tc>
          <w:tcPr>
            <w:tcW w:w="990" w:type="dxa"/>
            <w:vAlign w:val="bottom"/>
          </w:tcPr>
          <w:p w:rsidR="007657A0" w:rsidRPr="006C2782" w:rsidRDefault="007657A0" w:rsidP="00C5542A">
            <w:pPr>
              <w:pStyle w:val="TableText"/>
              <w:jc w:val="right"/>
              <w:rPr>
                <w:rFonts w:ascii="Calibri" w:hAnsi="Calibri"/>
                <w:b/>
                <w:szCs w:val="18"/>
              </w:rPr>
            </w:pPr>
            <w:r w:rsidRPr="006C2782">
              <w:rPr>
                <w:rFonts w:ascii="Calibri" w:hAnsi="Calibri"/>
                <w:b/>
                <w:szCs w:val="18"/>
              </w:rPr>
              <w:t>$445,600</w:t>
            </w:r>
          </w:p>
        </w:tc>
        <w:tc>
          <w:tcPr>
            <w:tcW w:w="2160" w:type="dxa"/>
          </w:tcPr>
          <w:p w:rsidR="007657A0" w:rsidRPr="006C2782" w:rsidRDefault="007657A0" w:rsidP="00C5542A">
            <w:pPr>
              <w:pStyle w:val="TableText"/>
              <w:rPr>
                <w:rFonts w:ascii="Calibri" w:hAnsi="Calibri"/>
                <w:szCs w:val="18"/>
              </w:rPr>
            </w:pPr>
          </w:p>
        </w:tc>
        <w:tc>
          <w:tcPr>
            <w:tcW w:w="1080" w:type="dxa"/>
            <w:vAlign w:val="bottom"/>
          </w:tcPr>
          <w:p w:rsidR="007657A0" w:rsidRPr="00B257FC" w:rsidRDefault="007657A0" w:rsidP="00C5542A">
            <w:pPr>
              <w:pStyle w:val="TableText"/>
              <w:jc w:val="right"/>
              <w:rPr>
                <w:rFonts w:ascii="Calibri" w:hAnsi="Calibri"/>
                <w:b/>
                <w:szCs w:val="18"/>
              </w:rPr>
            </w:pPr>
            <w:r w:rsidRPr="00B257FC">
              <w:rPr>
                <w:rFonts w:ascii="Calibri" w:hAnsi="Calibri"/>
                <w:b/>
                <w:szCs w:val="18"/>
              </w:rPr>
              <w:t>$24,999</w:t>
            </w:r>
          </w:p>
        </w:tc>
      </w:tr>
    </w:tbl>
    <w:p w:rsidR="00316242" w:rsidRPr="00316242" w:rsidRDefault="007C01AB" w:rsidP="00316242">
      <w:pPr>
        <w:pStyle w:val="Figure"/>
      </w:pPr>
      <w:r>
        <w:rPr>
          <w:noProof/>
        </w:rPr>
        <w:drawing>
          <wp:inline distT="0" distB="0" distL="0" distR="0">
            <wp:extent cx="5504675" cy="2181225"/>
            <wp:effectExtent l="19050" t="0" r="775"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srcRect/>
                    <a:stretch>
                      <a:fillRect/>
                    </a:stretch>
                  </pic:blipFill>
                  <pic:spPr bwMode="auto">
                    <a:xfrm>
                      <a:off x="0" y="0"/>
                      <a:ext cx="5508926" cy="2182909"/>
                    </a:xfrm>
                    <a:prstGeom prst="rect">
                      <a:avLst/>
                    </a:prstGeom>
                    <a:noFill/>
                  </pic:spPr>
                </pic:pic>
              </a:graphicData>
            </a:graphic>
          </wp:inline>
        </w:drawing>
      </w:r>
    </w:p>
    <w:p w:rsidR="007657A0" w:rsidRPr="00E309F7" w:rsidRDefault="007657A0" w:rsidP="00855897">
      <w:pPr>
        <w:pStyle w:val="AlertText"/>
        <w:rPr>
          <w:sz w:val="18"/>
          <w:szCs w:val="18"/>
        </w:rPr>
      </w:pPr>
      <w:r w:rsidRPr="00E309F7">
        <w:rPr>
          <w:b/>
          <w:bCs/>
          <w:sz w:val="18"/>
          <w:szCs w:val="18"/>
        </w:rPr>
        <w:t>Note</w:t>
      </w:r>
      <w:r w:rsidR="00C64A0A" w:rsidRPr="00E309F7">
        <w:rPr>
          <w:b/>
          <w:bCs/>
          <w:sz w:val="18"/>
          <w:szCs w:val="18"/>
        </w:rPr>
        <w:t>   </w:t>
      </w:r>
      <w:r w:rsidRPr="00E309F7">
        <w:rPr>
          <w:sz w:val="18"/>
          <w:szCs w:val="18"/>
        </w:rPr>
        <w:t xml:space="preserve">All prices are per processor and reflect pricing for purchases within the United States and are in United States dollars. Pricing </w:t>
      </w:r>
      <w:r w:rsidR="004F406A" w:rsidRPr="00E309F7">
        <w:rPr>
          <w:sz w:val="18"/>
          <w:szCs w:val="18"/>
        </w:rPr>
        <w:t xml:space="preserve">is </w:t>
      </w:r>
      <w:r w:rsidRPr="00E309F7">
        <w:rPr>
          <w:sz w:val="18"/>
          <w:szCs w:val="18"/>
        </w:rPr>
        <w:t>based on information available on vendor Web sites. These are the cost savings per processor. The savings increase when additional processors are added.</w:t>
      </w:r>
    </w:p>
    <w:p w:rsidR="007657A0" w:rsidRDefault="007657A0" w:rsidP="007657A0">
      <w:pPr>
        <w:pStyle w:val="TableText"/>
        <w:rPr>
          <w:rFonts w:ascii="Verdana" w:hAnsi="Verdana" w:cs="Arial"/>
          <w:bCs/>
          <w:sz w:val="20"/>
        </w:rPr>
      </w:pPr>
      <w:r w:rsidRPr="007657A0">
        <w:rPr>
          <w:rFonts w:ascii="Verdana" w:hAnsi="Verdana" w:cs="Arial"/>
          <w:bCs/>
          <w:sz w:val="20"/>
        </w:rPr>
        <w:lastRenderedPageBreak/>
        <w:t>For more information and comparison</w:t>
      </w:r>
      <w:r w:rsidR="004F406A">
        <w:rPr>
          <w:rFonts w:ascii="Verdana" w:hAnsi="Verdana" w:cs="Arial"/>
          <w:bCs/>
          <w:sz w:val="20"/>
        </w:rPr>
        <w:t>s</w:t>
      </w:r>
      <w:r w:rsidRPr="007657A0">
        <w:rPr>
          <w:rFonts w:ascii="Verdana" w:hAnsi="Verdana" w:cs="Arial"/>
          <w:bCs/>
          <w:sz w:val="20"/>
        </w:rPr>
        <w:t xml:space="preserve"> between IBM</w:t>
      </w:r>
      <w:r w:rsidR="004F406A">
        <w:rPr>
          <w:bCs/>
        </w:rPr>
        <w:t> </w:t>
      </w:r>
      <w:r w:rsidRPr="007657A0">
        <w:rPr>
          <w:rFonts w:ascii="Verdana" w:hAnsi="Verdana" w:cs="Arial"/>
          <w:bCs/>
          <w:sz w:val="20"/>
        </w:rPr>
        <w:t>DB2 and SQL</w:t>
      </w:r>
      <w:r w:rsidR="004F406A">
        <w:rPr>
          <w:bCs/>
        </w:rPr>
        <w:t> </w:t>
      </w:r>
      <w:r w:rsidRPr="007657A0">
        <w:rPr>
          <w:rFonts w:ascii="Verdana" w:hAnsi="Verdana" w:cs="Arial"/>
          <w:bCs/>
          <w:sz w:val="20"/>
        </w:rPr>
        <w:t xml:space="preserve">Server, </w:t>
      </w:r>
      <w:r w:rsidR="004F406A">
        <w:rPr>
          <w:rFonts w:ascii="Verdana" w:hAnsi="Verdana" w:cs="Arial"/>
          <w:bCs/>
          <w:sz w:val="20"/>
        </w:rPr>
        <w:t>see</w:t>
      </w:r>
      <w:r w:rsidRPr="007657A0">
        <w:rPr>
          <w:rFonts w:ascii="Verdana" w:hAnsi="Verdana" w:cs="Arial"/>
          <w:bCs/>
          <w:sz w:val="20"/>
        </w:rPr>
        <w:t xml:space="preserve"> </w:t>
      </w:r>
      <w:hyperlink r:id="rId33" w:history="1">
        <w:r w:rsidR="00E309F7">
          <w:rPr>
            <w:rStyle w:val="Hyperlink"/>
            <w:rFonts w:ascii="Verdana" w:hAnsi="Verdana" w:cs="Arial"/>
            <w:bCs/>
            <w:iCs/>
            <w:sz w:val="20"/>
          </w:rPr>
          <w:t>Comparing SQL Server 2005 to IBM</w:t>
        </w:r>
      </w:hyperlink>
      <w:r w:rsidRPr="007657A0">
        <w:rPr>
          <w:rFonts w:ascii="Verdana" w:hAnsi="Verdana" w:cs="Arial"/>
          <w:bCs/>
          <w:sz w:val="20"/>
        </w:rPr>
        <w:t>.</w:t>
      </w:r>
    </w:p>
    <w:p w:rsidR="008726DD" w:rsidRPr="008726DD" w:rsidRDefault="008726DD" w:rsidP="0032463F">
      <w:pPr>
        <w:pStyle w:val="Heading4"/>
        <w:rPr>
          <w:snapToGrid w:val="0"/>
        </w:rPr>
      </w:pPr>
      <w:bookmarkStart w:id="18" w:name="_Toc176937166"/>
      <w:bookmarkStart w:id="19" w:name="_Toc178405168"/>
      <w:r w:rsidRPr="008726DD">
        <w:rPr>
          <w:snapToGrid w:val="0"/>
        </w:rPr>
        <w:t>Total Cost of Ownership (TCO)</w:t>
      </w:r>
      <w:bookmarkEnd w:id="18"/>
      <w:bookmarkEnd w:id="19"/>
    </w:p>
    <w:p w:rsidR="008726DD" w:rsidRDefault="008726DD" w:rsidP="008726DD">
      <w:pPr>
        <w:pStyle w:val="TableText"/>
        <w:rPr>
          <w:rFonts w:ascii="Verdana" w:hAnsi="Verdana" w:cs="Arial"/>
          <w:bCs/>
          <w:sz w:val="20"/>
        </w:rPr>
      </w:pPr>
      <w:r w:rsidRPr="008726DD">
        <w:rPr>
          <w:rFonts w:ascii="Verdana" w:hAnsi="Verdana" w:cs="Arial"/>
          <w:bCs/>
          <w:sz w:val="20"/>
        </w:rPr>
        <w:t>After looking at the cost of database software, the next step is to bring everything together with a comparison of total cost of ownership (</w:t>
      </w:r>
      <w:smartTag w:uri="urn:schemas-microsoft-com:office:smarttags" w:element="stockticker">
        <w:r w:rsidRPr="008726DD">
          <w:rPr>
            <w:rFonts w:ascii="Verdana" w:hAnsi="Verdana" w:cs="Arial"/>
            <w:bCs/>
            <w:sz w:val="20"/>
          </w:rPr>
          <w:t>TCO</w:t>
        </w:r>
      </w:smartTag>
      <w:r w:rsidRPr="008726DD">
        <w:rPr>
          <w:rFonts w:ascii="Verdana" w:hAnsi="Verdana" w:cs="Arial"/>
          <w:bCs/>
          <w:sz w:val="20"/>
        </w:rPr>
        <w:t>). Independent third-party studies have validated that SQL</w:t>
      </w:r>
      <w:r w:rsidR="004F406A">
        <w:rPr>
          <w:rFonts w:ascii="Verdana" w:hAnsi="Verdana" w:cs="Arial"/>
          <w:bCs/>
          <w:sz w:val="20"/>
        </w:rPr>
        <w:t> </w:t>
      </w:r>
      <w:r w:rsidRPr="008726DD">
        <w:rPr>
          <w:rFonts w:ascii="Verdana" w:hAnsi="Verdana" w:cs="Arial"/>
          <w:bCs/>
          <w:sz w:val="20"/>
        </w:rPr>
        <w:t xml:space="preserve">Server offers lower </w:t>
      </w:r>
      <w:smartTag w:uri="urn:schemas-microsoft-com:office:smarttags" w:element="stockticker">
        <w:r w:rsidRPr="008726DD">
          <w:rPr>
            <w:rFonts w:ascii="Verdana" w:hAnsi="Verdana" w:cs="Arial"/>
            <w:bCs/>
            <w:sz w:val="20"/>
          </w:rPr>
          <w:t>TCO</w:t>
        </w:r>
      </w:smartTag>
      <w:r w:rsidRPr="008726DD">
        <w:rPr>
          <w:rFonts w:ascii="Verdana" w:hAnsi="Verdana" w:cs="Arial"/>
          <w:bCs/>
          <w:sz w:val="20"/>
        </w:rPr>
        <w:t xml:space="preserve"> across multiple cost categories, with the largest savings usually coming from ongoing operations. In fact, a study by NerveWire</w:t>
      </w:r>
      <w:r w:rsidRPr="008726DD">
        <w:rPr>
          <w:rFonts w:ascii="Verdana" w:hAnsi="Verdana" w:cs="Arial"/>
          <w:bCs/>
          <w:sz w:val="20"/>
          <w:vertAlign w:val="superscript"/>
        </w:rPr>
        <w:footnoteReference w:id="2"/>
      </w:r>
      <w:r w:rsidRPr="008726DD">
        <w:rPr>
          <w:rFonts w:ascii="Verdana" w:hAnsi="Verdana" w:cs="Arial"/>
          <w:bCs/>
          <w:sz w:val="20"/>
        </w:rPr>
        <w:t xml:space="preserve"> found that SQL</w:t>
      </w:r>
      <w:r w:rsidR="004F406A">
        <w:rPr>
          <w:rFonts w:ascii="Verdana" w:hAnsi="Verdana" w:cs="Arial"/>
          <w:bCs/>
          <w:sz w:val="20"/>
        </w:rPr>
        <w:t> </w:t>
      </w:r>
      <w:r w:rsidRPr="008726DD">
        <w:rPr>
          <w:rFonts w:ascii="Verdana" w:hAnsi="Verdana" w:cs="Arial"/>
          <w:bCs/>
          <w:sz w:val="20"/>
        </w:rPr>
        <w:t xml:space="preserve">Server cost advantages versus the competing product translated into a </w:t>
      </w:r>
      <w:r w:rsidRPr="008726DD">
        <w:rPr>
          <w:rFonts w:ascii="Verdana" w:hAnsi="Verdana" w:cs="Arial"/>
          <w:bCs/>
          <w:i/>
          <w:sz w:val="20"/>
        </w:rPr>
        <w:t>47</w:t>
      </w:r>
      <w:r w:rsidR="004F406A">
        <w:rPr>
          <w:rFonts w:ascii="Verdana" w:hAnsi="Verdana" w:cs="Arial"/>
          <w:bCs/>
          <w:sz w:val="20"/>
        </w:rPr>
        <w:t> </w:t>
      </w:r>
      <w:r w:rsidRPr="008726DD">
        <w:rPr>
          <w:rFonts w:ascii="Verdana" w:hAnsi="Verdana" w:cs="Arial"/>
          <w:bCs/>
          <w:i/>
          <w:sz w:val="20"/>
        </w:rPr>
        <w:t>percent cost savings over the three-year period</w:t>
      </w:r>
      <w:r w:rsidRPr="008726DD">
        <w:rPr>
          <w:rFonts w:ascii="Verdana" w:hAnsi="Verdana" w:cs="Arial"/>
          <w:bCs/>
          <w:sz w:val="20"/>
        </w:rPr>
        <w:t xml:space="preserve"> covered in the survey. The results of the study are summarized as follows.</w:t>
      </w:r>
    </w:p>
    <w:p w:rsidR="008726DD" w:rsidRPr="008726DD" w:rsidRDefault="008726DD" w:rsidP="00D1770F">
      <w:pPr>
        <w:pStyle w:val="TableSpacingAfte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160"/>
        <w:gridCol w:w="1440"/>
        <w:gridCol w:w="1440"/>
        <w:gridCol w:w="1440"/>
      </w:tblGrid>
      <w:tr w:rsidR="008726DD" w:rsidRPr="004D4E72" w:rsidTr="006C707F">
        <w:trPr>
          <w:tblHeader/>
        </w:trPr>
        <w:tc>
          <w:tcPr>
            <w:tcW w:w="1440" w:type="dxa"/>
            <w:shd w:val="pct20" w:color="auto" w:fill="auto"/>
          </w:tcPr>
          <w:p w:rsidR="008726DD" w:rsidRPr="006C707F" w:rsidRDefault="008726DD" w:rsidP="008726DD">
            <w:pPr>
              <w:pStyle w:val="TableHeading"/>
              <w:rPr>
                <w:rFonts w:ascii="Calibri" w:hAnsi="Calibri"/>
                <w:sz w:val="18"/>
                <w:szCs w:val="18"/>
              </w:rPr>
            </w:pPr>
            <w:r w:rsidRPr="006C707F">
              <w:rPr>
                <w:rFonts w:ascii="Calibri" w:hAnsi="Calibri"/>
                <w:sz w:val="18"/>
                <w:szCs w:val="18"/>
              </w:rPr>
              <w:t>Application Type</w:t>
            </w:r>
          </w:p>
        </w:tc>
        <w:tc>
          <w:tcPr>
            <w:tcW w:w="2160" w:type="dxa"/>
            <w:shd w:val="pct20" w:color="auto" w:fill="auto"/>
          </w:tcPr>
          <w:p w:rsidR="008726DD" w:rsidRPr="006C707F" w:rsidRDefault="008726DD" w:rsidP="008726DD">
            <w:pPr>
              <w:pStyle w:val="TableHeading"/>
              <w:rPr>
                <w:rFonts w:ascii="Calibri" w:hAnsi="Calibri"/>
                <w:sz w:val="18"/>
                <w:szCs w:val="18"/>
              </w:rPr>
            </w:pPr>
            <w:r w:rsidRPr="006C707F">
              <w:rPr>
                <w:rFonts w:ascii="Calibri" w:hAnsi="Calibri"/>
                <w:sz w:val="18"/>
                <w:szCs w:val="18"/>
              </w:rPr>
              <w:t>Cost</w:t>
            </w:r>
          </w:p>
        </w:tc>
        <w:tc>
          <w:tcPr>
            <w:tcW w:w="1440" w:type="dxa"/>
            <w:shd w:val="pct20" w:color="auto" w:fill="auto"/>
          </w:tcPr>
          <w:p w:rsidR="008726DD" w:rsidRPr="006C707F" w:rsidRDefault="008726DD" w:rsidP="008726DD">
            <w:pPr>
              <w:pStyle w:val="TableHeading"/>
              <w:rPr>
                <w:rFonts w:ascii="Calibri" w:hAnsi="Calibri"/>
                <w:sz w:val="18"/>
                <w:szCs w:val="18"/>
              </w:rPr>
            </w:pPr>
            <w:r w:rsidRPr="006C707F">
              <w:rPr>
                <w:rFonts w:ascii="Calibri" w:hAnsi="Calibri"/>
                <w:sz w:val="18"/>
                <w:szCs w:val="18"/>
              </w:rPr>
              <w:t>SQL Server TCO</w:t>
            </w:r>
          </w:p>
        </w:tc>
        <w:tc>
          <w:tcPr>
            <w:tcW w:w="1440" w:type="dxa"/>
            <w:shd w:val="pct20" w:color="auto" w:fill="auto"/>
          </w:tcPr>
          <w:p w:rsidR="008726DD" w:rsidRPr="006C707F" w:rsidRDefault="008726DD" w:rsidP="008726DD">
            <w:pPr>
              <w:pStyle w:val="TableHeading"/>
              <w:rPr>
                <w:rFonts w:ascii="Calibri" w:hAnsi="Calibri"/>
                <w:sz w:val="18"/>
                <w:szCs w:val="18"/>
              </w:rPr>
            </w:pPr>
            <w:r w:rsidRPr="006C707F">
              <w:rPr>
                <w:rFonts w:ascii="Calibri" w:hAnsi="Calibri"/>
                <w:sz w:val="18"/>
                <w:szCs w:val="18"/>
              </w:rPr>
              <w:t>Competing Product TCO</w:t>
            </w:r>
          </w:p>
        </w:tc>
        <w:tc>
          <w:tcPr>
            <w:tcW w:w="1440" w:type="dxa"/>
            <w:shd w:val="pct20" w:color="auto" w:fill="auto"/>
          </w:tcPr>
          <w:p w:rsidR="008726DD" w:rsidRPr="006C707F" w:rsidRDefault="008726DD" w:rsidP="008726DD">
            <w:pPr>
              <w:pStyle w:val="TableHeading"/>
              <w:rPr>
                <w:rFonts w:ascii="Calibri" w:hAnsi="Calibri"/>
                <w:sz w:val="18"/>
                <w:szCs w:val="18"/>
              </w:rPr>
            </w:pPr>
            <w:r w:rsidRPr="006C707F">
              <w:rPr>
                <w:rFonts w:ascii="Calibri" w:hAnsi="Calibri"/>
                <w:sz w:val="18"/>
                <w:szCs w:val="18"/>
              </w:rPr>
              <w:t>Percentage Savings</w:t>
            </w:r>
          </w:p>
        </w:tc>
      </w:tr>
      <w:tr w:rsidR="008726DD" w:rsidRPr="004D4E72" w:rsidTr="008726DD">
        <w:trPr>
          <w:cantSplit/>
        </w:trPr>
        <w:tc>
          <w:tcPr>
            <w:tcW w:w="1440" w:type="dxa"/>
            <w:vMerge w:val="restart"/>
          </w:tcPr>
          <w:p w:rsidR="008726DD" w:rsidRPr="004D4E72" w:rsidRDefault="008726DD" w:rsidP="008726DD">
            <w:pPr>
              <w:pStyle w:val="TableText"/>
              <w:rPr>
                <w:rFonts w:ascii="Calibri" w:hAnsi="Calibri"/>
              </w:rPr>
            </w:pPr>
            <w:r w:rsidRPr="004D4E72">
              <w:rPr>
                <w:rFonts w:ascii="Calibri" w:hAnsi="Calibri"/>
              </w:rPr>
              <w:t>Cross Organizational Applications (100+ users)</w:t>
            </w:r>
          </w:p>
        </w:tc>
        <w:tc>
          <w:tcPr>
            <w:tcW w:w="2160" w:type="dxa"/>
          </w:tcPr>
          <w:p w:rsidR="008726DD" w:rsidRPr="004D4E72" w:rsidRDefault="008726DD" w:rsidP="004F406A">
            <w:pPr>
              <w:pStyle w:val="TableText"/>
              <w:rPr>
                <w:rFonts w:ascii="Calibri" w:hAnsi="Calibri"/>
              </w:rPr>
            </w:pPr>
            <w:r>
              <w:rPr>
                <w:rFonts w:ascii="Calibri" w:hAnsi="Calibri"/>
              </w:rPr>
              <w:t xml:space="preserve">Ongoing </w:t>
            </w:r>
            <w:r w:rsidR="004F406A">
              <w:rPr>
                <w:rFonts w:ascii="Calibri" w:hAnsi="Calibri"/>
              </w:rPr>
              <w:t>o</w:t>
            </w:r>
            <w:r w:rsidRPr="004D4E72">
              <w:rPr>
                <w:rFonts w:ascii="Calibri" w:hAnsi="Calibri"/>
              </w:rPr>
              <w:t>perations</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$511,928</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$926,078</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45%</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4F406A">
            <w:pPr>
              <w:pStyle w:val="TableText"/>
              <w:rPr>
                <w:rFonts w:ascii="Calibri" w:hAnsi="Calibri"/>
              </w:rPr>
            </w:pPr>
            <w:r w:rsidRPr="004D4E72">
              <w:rPr>
                <w:rFonts w:ascii="Calibri" w:hAnsi="Calibri"/>
              </w:rPr>
              <w:t xml:space="preserve">Design </w:t>
            </w:r>
            <w:r w:rsidR="004F406A">
              <w:rPr>
                <w:rFonts w:ascii="Calibri" w:hAnsi="Calibri"/>
              </w:rPr>
              <w:t>and</w:t>
            </w:r>
            <w:r w:rsidRPr="004D4E72">
              <w:rPr>
                <w:rFonts w:ascii="Calibri" w:hAnsi="Calibri"/>
              </w:rPr>
              <w:t xml:space="preserve"> </w:t>
            </w:r>
            <w:r w:rsidR="004F406A">
              <w:rPr>
                <w:rFonts w:ascii="Calibri" w:hAnsi="Calibri"/>
              </w:rPr>
              <w:t>d</w:t>
            </w:r>
            <w:r w:rsidRPr="004D4E72">
              <w:rPr>
                <w:rFonts w:ascii="Calibri" w:hAnsi="Calibri"/>
              </w:rPr>
              <w:t>evelopment</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$158,381</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$181,875</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13%</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4F406A">
            <w:pPr>
              <w:pStyle w:val="TableText"/>
              <w:rPr>
                <w:rFonts w:ascii="Calibri" w:hAnsi="Calibri"/>
              </w:rPr>
            </w:pPr>
            <w:r w:rsidRPr="004D4E72">
              <w:rPr>
                <w:rFonts w:ascii="Calibri" w:hAnsi="Calibri"/>
              </w:rPr>
              <w:t xml:space="preserve">Software </w:t>
            </w:r>
            <w:r w:rsidR="004F406A">
              <w:rPr>
                <w:rFonts w:ascii="Calibri" w:hAnsi="Calibri"/>
              </w:rPr>
              <w:t>l</w:t>
            </w:r>
            <w:r w:rsidRPr="004D4E72">
              <w:rPr>
                <w:rFonts w:ascii="Calibri" w:hAnsi="Calibri"/>
              </w:rPr>
              <w:t>icensing</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$75,000</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$225,000</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67%</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rPr>
            </w:pPr>
            <w:r w:rsidRPr="004D4E72">
              <w:rPr>
                <w:rFonts w:ascii="Calibri" w:hAnsi="Calibri"/>
              </w:rPr>
              <w:t>Hardware</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$101,500</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$221,500</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54%</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rPr>
            </w:pPr>
            <w:r w:rsidRPr="004D4E72">
              <w:rPr>
                <w:rFonts w:ascii="Calibri" w:hAnsi="Calibri"/>
              </w:rPr>
              <w:t>Maintenance</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$64,500</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$145,125</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56%</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rPr>
            </w:pPr>
            <w:r w:rsidRPr="004D4E72">
              <w:rPr>
                <w:rFonts w:ascii="Calibri" w:hAnsi="Calibri"/>
              </w:rPr>
              <w:t>Training</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$12,627</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$31,388</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60%</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b/>
              </w:rPr>
            </w:pPr>
            <w:r w:rsidRPr="004D4E72">
              <w:rPr>
                <w:rFonts w:ascii="Calibri" w:hAnsi="Calibri"/>
                <w:b/>
              </w:rPr>
              <w:t>Total TCO</w:t>
            </w:r>
          </w:p>
        </w:tc>
        <w:tc>
          <w:tcPr>
            <w:tcW w:w="1440" w:type="dxa"/>
            <w:vAlign w:val="bottom"/>
          </w:tcPr>
          <w:p w:rsidR="008726DD" w:rsidRPr="004D4E72" w:rsidRDefault="008726DD" w:rsidP="008726DD">
            <w:pPr>
              <w:pStyle w:val="TableText"/>
              <w:jc w:val="right"/>
              <w:rPr>
                <w:rFonts w:ascii="Calibri" w:hAnsi="Calibri"/>
                <w:b/>
              </w:rPr>
            </w:pPr>
            <w:r w:rsidRPr="004D4E72">
              <w:rPr>
                <w:rFonts w:ascii="Calibri" w:hAnsi="Calibri"/>
                <w:b/>
              </w:rPr>
              <w:t>$923,936</w:t>
            </w:r>
          </w:p>
        </w:tc>
        <w:tc>
          <w:tcPr>
            <w:tcW w:w="1440" w:type="dxa"/>
            <w:vAlign w:val="bottom"/>
          </w:tcPr>
          <w:p w:rsidR="008726DD" w:rsidRPr="004D4E72" w:rsidRDefault="008726DD" w:rsidP="008726DD">
            <w:pPr>
              <w:pStyle w:val="TableText"/>
              <w:jc w:val="right"/>
              <w:rPr>
                <w:rFonts w:ascii="Calibri" w:hAnsi="Calibri"/>
                <w:b/>
              </w:rPr>
            </w:pPr>
            <w:r w:rsidRPr="004D4E72">
              <w:rPr>
                <w:rFonts w:ascii="Calibri" w:hAnsi="Calibri"/>
                <w:b/>
              </w:rPr>
              <w:t>$1,730,966</w:t>
            </w:r>
          </w:p>
        </w:tc>
        <w:tc>
          <w:tcPr>
            <w:tcW w:w="1440" w:type="dxa"/>
            <w:vAlign w:val="bottom"/>
          </w:tcPr>
          <w:p w:rsidR="008726DD" w:rsidRPr="004D4E72" w:rsidRDefault="008726DD" w:rsidP="008726DD">
            <w:pPr>
              <w:pStyle w:val="TableText"/>
              <w:jc w:val="center"/>
              <w:rPr>
                <w:rFonts w:ascii="Calibri" w:hAnsi="Calibri"/>
                <w:b/>
                <w:color w:val="FF0000"/>
              </w:rPr>
            </w:pPr>
            <w:r w:rsidRPr="004D4E72">
              <w:rPr>
                <w:rFonts w:ascii="Calibri" w:hAnsi="Calibri"/>
                <w:b/>
                <w:color w:val="FF0000"/>
              </w:rPr>
              <w:t>47%</w:t>
            </w:r>
          </w:p>
        </w:tc>
      </w:tr>
      <w:tr w:rsidR="008726DD" w:rsidRPr="004D4E72" w:rsidTr="008726DD">
        <w:trPr>
          <w:cantSplit/>
        </w:trPr>
        <w:tc>
          <w:tcPr>
            <w:tcW w:w="1440" w:type="dxa"/>
            <w:vMerge w:val="restart"/>
          </w:tcPr>
          <w:p w:rsidR="008726DD" w:rsidRPr="004D4E72" w:rsidRDefault="008726DD" w:rsidP="008726DD">
            <w:pPr>
              <w:pStyle w:val="TableText"/>
              <w:rPr>
                <w:rFonts w:ascii="Calibri" w:hAnsi="Calibri"/>
              </w:rPr>
            </w:pPr>
            <w:r w:rsidRPr="004D4E72">
              <w:rPr>
                <w:rFonts w:ascii="Calibri" w:hAnsi="Calibri"/>
              </w:rPr>
              <w:t>Departmental Applications (50-100 users)</w:t>
            </w:r>
          </w:p>
        </w:tc>
        <w:tc>
          <w:tcPr>
            <w:tcW w:w="2160" w:type="dxa"/>
          </w:tcPr>
          <w:p w:rsidR="008726DD" w:rsidRPr="004D4E72" w:rsidRDefault="008726DD" w:rsidP="004F406A">
            <w:pPr>
              <w:pStyle w:val="TableText"/>
              <w:rPr>
                <w:rFonts w:ascii="Calibri" w:hAnsi="Calibri"/>
              </w:rPr>
            </w:pPr>
            <w:r w:rsidRPr="004D4E72">
              <w:rPr>
                <w:rFonts w:ascii="Calibri" w:hAnsi="Calibri"/>
              </w:rPr>
              <w:t xml:space="preserve">Ongoing </w:t>
            </w:r>
            <w:r w:rsidR="004F406A">
              <w:rPr>
                <w:rFonts w:ascii="Calibri" w:hAnsi="Calibri"/>
              </w:rPr>
              <w:t>o</w:t>
            </w:r>
            <w:r w:rsidRPr="004D4E72">
              <w:rPr>
                <w:rFonts w:ascii="Calibri" w:hAnsi="Calibri"/>
              </w:rPr>
              <w:t>perations</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$209,411</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$312,886</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33%</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4F406A">
            <w:pPr>
              <w:pStyle w:val="TableText"/>
              <w:rPr>
                <w:rFonts w:ascii="Calibri" w:hAnsi="Calibri"/>
              </w:rPr>
            </w:pPr>
            <w:r w:rsidRPr="004D4E72">
              <w:rPr>
                <w:rFonts w:ascii="Calibri" w:hAnsi="Calibri"/>
              </w:rPr>
              <w:t xml:space="preserve">Design </w:t>
            </w:r>
            <w:r w:rsidR="004F406A">
              <w:rPr>
                <w:rFonts w:ascii="Calibri" w:hAnsi="Calibri"/>
              </w:rPr>
              <w:t>and</w:t>
            </w:r>
            <w:r w:rsidRPr="004D4E72">
              <w:rPr>
                <w:rFonts w:ascii="Calibri" w:hAnsi="Calibri"/>
              </w:rPr>
              <w:t xml:space="preserve"> </w:t>
            </w:r>
            <w:r w:rsidR="004F406A">
              <w:rPr>
                <w:rFonts w:ascii="Calibri" w:hAnsi="Calibri"/>
              </w:rPr>
              <w:t>d</w:t>
            </w:r>
            <w:r w:rsidRPr="004D4E72">
              <w:rPr>
                <w:rFonts w:ascii="Calibri" w:hAnsi="Calibri"/>
              </w:rPr>
              <w:t>evelopment</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$37,474</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$49,274</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24%</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4F406A">
            <w:pPr>
              <w:pStyle w:val="TableText"/>
              <w:rPr>
                <w:rFonts w:ascii="Calibri" w:hAnsi="Calibri"/>
              </w:rPr>
            </w:pPr>
            <w:r w:rsidRPr="004D4E72">
              <w:rPr>
                <w:rFonts w:ascii="Calibri" w:hAnsi="Calibri"/>
              </w:rPr>
              <w:t xml:space="preserve">Software </w:t>
            </w:r>
            <w:r w:rsidR="004F406A">
              <w:rPr>
                <w:rFonts w:ascii="Calibri" w:hAnsi="Calibri"/>
              </w:rPr>
              <w:t>l</w:t>
            </w:r>
            <w:r w:rsidRPr="004D4E72">
              <w:rPr>
                <w:rFonts w:ascii="Calibri" w:hAnsi="Calibri"/>
              </w:rPr>
              <w:t>icensing</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$15,000</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$45,000</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67%</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rPr>
            </w:pPr>
            <w:r w:rsidRPr="004D4E72">
              <w:rPr>
                <w:rFonts w:ascii="Calibri" w:hAnsi="Calibri"/>
              </w:rPr>
              <w:t>Hardware</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$34,300</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$74,300</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54%</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rPr>
            </w:pPr>
            <w:r w:rsidRPr="004D4E72">
              <w:rPr>
                <w:rFonts w:ascii="Calibri" w:hAnsi="Calibri"/>
              </w:rPr>
              <w:t>Maintenance</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$12,900</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$29,025</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56%</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rPr>
            </w:pPr>
            <w:r w:rsidRPr="004D4E72">
              <w:rPr>
                <w:rFonts w:ascii="Calibri" w:hAnsi="Calibri"/>
              </w:rPr>
              <w:t>Training</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$1,681</w:t>
            </w:r>
          </w:p>
        </w:tc>
        <w:tc>
          <w:tcPr>
            <w:tcW w:w="1440" w:type="dxa"/>
            <w:vAlign w:val="bottom"/>
          </w:tcPr>
          <w:p w:rsidR="008726DD" w:rsidRPr="004D4E72" w:rsidRDefault="008726DD" w:rsidP="008726DD">
            <w:pPr>
              <w:pStyle w:val="TableText"/>
              <w:jc w:val="right"/>
              <w:rPr>
                <w:rFonts w:ascii="Calibri" w:hAnsi="Calibri"/>
              </w:rPr>
            </w:pPr>
            <w:r w:rsidRPr="004D4E72">
              <w:rPr>
                <w:rFonts w:ascii="Calibri" w:hAnsi="Calibri"/>
              </w:rPr>
              <w:t>$3,643</w:t>
            </w:r>
          </w:p>
        </w:tc>
        <w:tc>
          <w:tcPr>
            <w:tcW w:w="1440" w:type="dxa"/>
            <w:vAlign w:val="bottom"/>
          </w:tcPr>
          <w:p w:rsidR="008726DD" w:rsidRPr="004D4E72" w:rsidRDefault="008726DD" w:rsidP="008726DD">
            <w:pPr>
              <w:pStyle w:val="TableText"/>
              <w:jc w:val="center"/>
              <w:rPr>
                <w:rFonts w:ascii="Calibri" w:hAnsi="Calibri"/>
              </w:rPr>
            </w:pPr>
            <w:r w:rsidRPr="004D4E72">
              <w:rPr>
                <w:rFonts w:ascii="Calibri" w:hAnsi="Calibri"/>
              </w:rPr>
              <w:t>54%</w:t>
            </w:r>
          </w:p>
        </w:tc>
      </w:tr>
      <w:tr w:rsidR="008726DD" w:rsidRPr="004D4E72" w:rsidTr="008726DD">
        <w:trPr>
          <w:cantSplit/>
        </w:trPr>
        <w:tc>
          <w:tcPr>
            <w:tcW w:w="1440" w:type="dxa"/>
            <w:vMerge/>
          </w:tcPr>
          <w:p w:rsidR="008726DD" w:rsidRPr="004D4E72" w:rsidRDefault="008726DD" w:rsidP="008726DD">
            <w:pPr>
              <w:pStyle w:val="TableText"/>
              <w:rPr>
                <w:rFonts w:ascii="Calibri" w:hAnsi="Calibri"/>
              </w:rPr>
            </w:pPr>
          </w:p>
        </w:tc>
        <w:tc>
          <w:tcPr>
            <w:tcW w:w="2160" w:type="dxa"/>
          </w:tcPr>
          <w:p w:rsidR="008726DD" w:rsidRPr="004D4E72" w:rsidRDefault="008726DD" w:rsidP="008726DD">
            <w:pPr>
              <w:pStyle w:val="TableText"/>
              <w:rPr>
                <w:rFonts w:ascii="Calibri" w:hAnsi="Calibri"/>
                <w:b/>
              </w:rPr>
            </w:pPr>
            <w:r w:rsidRPr="004D4E72">
              <w:rPr>
                <w:rFonts w:ascii="Calibri" w:hAnsi="Calibri"/>
                <w:b/>
              </w:rPr>
              <w:t>Total TCO</w:t>
            </w:r>
          </w:p>
        </w:tc>
        <w:tc>
          <w:tcPr>
            <w:tcW w:w="1440" w:type="dxa"/>
            <w:vAlign w:val="bottom"/>
          </w:tcPr>
          <w:p w:rsidR="008726DD" w:rsidRPr="004D4E72" w:rsidRDefault="008726DD" w:rsidP="008726DD">
            <w:pPr>
              <w:pStyle w:val="TableText"/>
              <w:jc w:val="right"/>
              <w:rPr>
                <w:rFonts w:ascii="Calibri" w:hAnsi="Calibri"/>
                <w:b/>
              </w:rPr>
            </w:pPr>
            <w:r w:rsidRPr="004D4E72">
              <w:rPr>
                <w:rFonts w:ascii="Calibri" w:hAnsi="Calibri"/>
                <w:b/>
              </w:rPr>
              <w:t>$310,767</w:t>
            </w:r>
          </w:p>
        </w:tc>
        <w:tc>
          <w:tcPr>
            <w:tcW w:w="1440" w:type="dxa"/>
            <w:vAlign w:val="bottom"/>
          </w:tcPr>
          <w:p w:rsidR="008726DD" w:rsidRPr="004D4E72" w:rsidRDefault="008726DD" w:rsidP="008726DD">
            <w:pPr>
              <w:pStyle w:val="TableText"/>
              <w:jc w:val="right"/>
              <w:rPr>
                <w:rFonts w:ascii="Calibri" w:hAnsi="Calibri"/>
                <w:b/>
              </w:rPr>
            </w:pPr>
            <w:r w:rsidRPr="004D4E72">
              <w:rPr>
                <w:rFonts w:ascii="Calibri" w:hAnsi="Calibri"/>
                <w:b/>
              </w:rPr>
              <w:t>$514,128</w:t>
            </w:r>
          </w:p>
        </w:tc>
        <w:tc>
          <w:tcPr>
            <w:tcW w:w="1440" w:type="dxa"/>
            <w:vAlign w:val="bottom"/>
          </w:tcPr>
          <w:p w:rsidR="008726DD" w:rsidRPr="004D4E72" w:rsidRDefault="008726DD" w:rsidP="008726DD">
            <w:pPr>
              <w:pStyle w:val="TableText"/>
              <w:jc w:val="center"/>
              <w:rPr>
                <w:rFonts w:ascii="Calibri" w:hAnsi="Calibri"/>
                <w:b/>
                <w:color w:val="FF0000"/>
              </w:rPr>
            </w:pPr>
            <w:r w:rsidRPr="004D4E72">
              <w:rPr>
                <w:rFonts w:ascii="Calibri" w:hAnsi="Calibri"/>
                <w:b/>
                <w:color w:val="FF0000"/>
              </w:rPr>
              <w:t>40%</w:t>
            </w:r>
          </w:p>
        </w:tc>
      </w:tr>
    </w:tbl>
    <w:p w:rsidR="008726DD" w:rsidRDefault="00422132" w:rsidP="00422132">
      <w:pPr>
        <w:pStyle w:val="Figure"/>
      </w:pPr>
      <w:r>
        <w:rPr>
          <w:noProof/>
        </w:rPr>
        <w:lastRenderedPageBreak/>
        <w:drawing>
          <wp:inline distT="0" distB="0" distL="0" distR="0">
            <wp:extent cx="5543550" cy="2971800"/>
            <wp:effectExtent l="19050" t="0" r="0" b="0"/>
            <wp:docPr id="17" name="Picture 16" descr="DBPricingF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PricingFig7.jpg"/>
                    <pic:cNvPicPr/>
                  </pic:nvPicPr>
                  <pic:blipFill>
                    <a:blip r:embed="rId34"/>
                    <a:stretch>
                      <a:fillRect/>
                    </a:stretch>
                  </pic:blipFill>
                  <pic:spPr>
                    <a:xfrm>
                      <a:off x="0" y="0"/>
                      <a:ext cx="5543550" cy="2971800"/>
                    </a:xfrm>
                    <a:prstGeom prst="rect">
                      <a:avLst/>
                    </a:prstGeom>
                  </pic:spPr>
                </pic:pic>
              </a:graphicData>
            </a:graphic>
          </wp:inline>
        </w:drawing>
      </w:r>
    </w:p>
    <w:p w:rsidR="008726DD" w:rsidRPr="00E309F7" w:rsidRDefault="008726DD" w:rsidP="00A1143E">
      <w:pPr>
        <w:pStyle w:val="AlertText"/>
        <w:rPr>
          <w:sz w:val="18"/>
          <w:szCs w:val="18"/>
        </w:rPr>
      </w:pPr>
      <w:r w:rsidRPr="00E309F7">
        <w:rPr>
          <w:b/>
          <w:bCs/>
          <w:sz w:val="18"/>
          <w:szCs w:val="18"/>
        </w:rPr>
        <w:t>Note</w:t>
      </w:r>
      <w:r w:rsidR="00C64A0A" w:rsidRPr="00E309F7">
        <w:rPr>
          <w:b/>
          <w:bCs/>
          <w:sz w:val="18"/>
          <w:szCs w:val="18"/>
        </w:rPr>
        <w:t>   </w:t>
      </w:r>
      <w:r w:rsidRPr="00E309F7">
        <w:rPr>
          <w:sz w:val="18"/>
          <w:szCs w:val="18"/>
        </w:rPr>
        <w:t>All prices are per processor and reflect pricing for purchases within the United States and are in United States dollars. Pricing based on information available on vendor Web sites.</w:t>
      </w:r>
    </w:p>
    <w:p w:rsidR="00095228" w:rsidRDefault="00095228" w:rsidP="008726DD">
      <w:pPr>
        <w:pStyle w:val="Heading4"/>
        <w:ind w:left="0"/>
      </w:pPr>
      <w:bookmarkStart w:id="20" w:name="_Toc178405169"/>
      <w:r>
        <w:t>Conclusion</w:t>
      </w:r>
      <w:bookmarkEnd w:id="20"/>
    </w:p>
    <w:p w:rsidR="008726DD" w:rsidRPr="008726DD" w:rsidRDefault="008726DD" w:rsidP="008726DD">
      <w:pPr>
        <w:pStyle w:val="Text"/>
      </w:pPr>
      <w:r w:rsidRPr="008726DD">
        <w:t xml:space="preserve">Understanding the direct and indirect costs of deploying and managing an enterprise database solution allows customers to make a more informed decision when </w:t>
      </w:r>
      <w:r w:rsidR="00A1143E">
        <w:t>deciding</w:t>
      </w:r>
      <w:r w:rsidRPr="008726DD">
        <w:t xml:space="preserve"> which database is best for their organization. Knowing all components of the licensing models and the new multicore technology and how these influence the overall cost </w:t>
      </w:r>
      <w:r w:rsidR="00A1143E">
        <w:t xml:space="preserve">of a database system </w:t>
      </w:r>
      <w:r w:rsidRPr="008726DD">
        <w:t xml:space="preserve">is </w:t>
      </w:r>
      <w:r w:rsidR="00E309F7">
        <w:t>necessary to</w:t>
      </w:r>
      <w:r w:rsidRPr="008726DD">
        <w:t xml:space="preserve"> understanding database pricing.</w:t>
      </w:r>
    </w:p>
    <w:p w:rsidR="008726DD" w:rsidRPr="008726DD" w:rsidRDefault="008726DD" w:rsidP="008726DD">
      <w:pPr>
        <w:pStyle w:val="Text"/>
      </w:pPr>
      <w:r w:rsidRPr="008726DD">
        <w:t>For those who have done the critical analysis, SQL Server</w:t>
      </w:r>
      <w:r w:rsidR="00A1143E">
        <w:t> </w:t>
      </w:r>
      <w:r w:rsidRPr="008726DD">
        <w:t xml:space="preserve">2005 has </w:t>
      </w:r>
      <w:r w:rsidR="00A1143E" w:rsidRPr="008726DD">
        <w:t xml:space="preserve">repeatedly </w:t>
      </w:r>
      <w:r w:rsidR="00A1143E">
        <w:t xml:space="preserve">been </w:t>
      </w:r>
      <w:r w:rsidRPr="008726DD">
        <w:t>proven to provide a cost-effective solution that is well able to meet users’ high service-level expectations. With savings across hardware, software, operations, and maintenance</w:t>
      </w:r>
      <w:r w:rsidR="00A1143E">
        <w:t>,</w:t>
      </w:r>
      <w:r w:rsidRPr="008726DD">
        <w:t xml:space="preserve"> the benefits of SQL Server 2005 are substantial.</w:t>
      </w:r>
    </w:p>
    <w:p w:rsidR="008726DD" w:rsidRPr="008726DD" w:rsidRDefault="008726DD" w:rsidP="008726DD">
      <w:pPr>
        <w:pStyle w:val="Text"/>
        <w:numPr>
          <w:ilvl w:val="0"/>
          <w:numId w:val="25"/>
        </w:numPr>
      </w:pPr>
      <w:r w:rsidRPr="008726DD">
        <w:t>Lower hardware costs</w:t>
      </w:r>
    </w:p>
    <w:p w:rsidR="008726DD" w:rsidRPr="008726DD" w:rsidRDefault="008726DD" w:rsidP="008726DD">
      <w:pPr>
        <w:pStyle w:val="Text"/>
        <w:numPr>
          <w:ilvl w:val="0"/>
          <w:numId w:val="25"/>
        </w:numPr>
      </w:pPr>
      <w:r w:rsidRPr="008726DD">
        <w:t>Lower software licensing costs</w:t>
      </w:r>
    </w:p>
    <w:p w:rsidR="008726DD" w:rsidRPr="008726DD" w:rsidRDefault="008726DD" w:rsidP="008726DD">
      <w:pPr>
        <w:pStyle w:val="Text"/>
        <w:numPr>
          <w:ilvl w:val="0"/>
          <w:numId w:val="25"/>
        </w:numPr>
      </w:pPr>
      <w:r w:rsidRPr="008726DD">
        <w:t>Reduced support and maintenance costs</w:t>
      </w:r>
    </w:p>
    <w:p w:rsidR="008726DD" w:rsidRPr="008726DD" w:rsidRDefault="008726DD" w:rsidP="008726DD">
      <w:pPr>
        <w:pStyle w:val="Text"/>
        <w:numPr>
          <w:ilvl w:val="0"/>
          <w:numId w:val="25"/>
        </w:numPr>
      </w:pPr>
      <w:r w:rsidRPr="008726DD">
        <w:t>Ability to meet business</w:t>
      </w:r>
      <w:r w:rsidR="00A1143E">
        <w:t xml:space="preserve"> and </w:t>
      </w:r>
      <w:r w:rsidRPr="008726DD">
        <w:t>user requirements</w:t>
      </w:r>
    </w:p>
    <w:p w:rsidR="008726DD" w:rsidRPr="008726DD" w:rsidRDefault="00A1143E" w:rsidP="008726DD">
      <w:pPr>
        <w:pStyle w:val="Text"/>
      </w:pPr>
      <w:r>
        <w:t>C</w:t>
      </w:r>
      <w:r w:rsidR="008726DD" w:rsidRPr="008726DD">
        <w:t>ompared with other database management solutions, SQL Server 2005 features lower hardware costs, decreased software licensing, and significantly reduced support and maintenance costs.</w:t>
      </w:r>
    </w:p>
    <w:p w:rsidR="008726DD" w:rsidRDefault="008726DD" w:rsidP="0032463F">
      <w:pPr>
        <w:pStyle w:val="Heading4"/>
      </w:pPr>
      <w:bookmarkStart w:id="21" w:name="_Reference"/>
      <w:bookmarkStart w:id="22" w:name="_Toc176937168"/>
      <w:bookmarkStart w:id="23" w:name="_Toc178405170"/>
      <w:bookmarkEnd w:id="21"/>
      <w:r>
        <w:t>Reference</w:t>
      </w:r>
      <w:bookmarkEnd w:id="22"/>
      <w:bookmarkEnd w:id="23"/>
    </w:p>
    <w:p w:rsidR="008726DD" w:rsidRPr="008726DD" w:rsidRDefault="008726DD" w:rsidP="00D1770F">
      <w:pPr>
        <w:pStyle w:val="Label"/>
      </w:pPr>
      <w:r w:rsidRPr="008726DD">
        <w:t xml:space="preserve">SQL Server Licensing </w:t>
      </w:r>
    </w:p>
    <w:p w:rsidR="008726DD" w:rsidRPr="008726DD" w:rsidRDefault="00A601F0" w:rsidP="00A25F3E">
      <w:pPr>
        <w:pStyle w:val="BulletedList1"/>
      </w:pPr>
      <w:hyperlink r:id="rId35" w:history="1">
        <w:r w:rsidR="00D1770F">
          <w:rPr>
            <w:rStyle w:val="Hyperlink"/>
          </w:rPr>
          <w:t>How to Buy SQL Server</w:t>
        </w:r>
      </w:hyperlink>
    </w:p>
    <w:p w:rsidR="008726DD" w:rsidRPr="008726DD" w:rsidRDefault="00A601F0" w:rsidP="00A25F3E">
      <w:pPr>
        <w:pStyle w:val="BulletedList1"/>
      </w:pPr>
      <w:hyperlink r:id="rId36" w:history="1">
        <w:r w:rsidR="008726DD" w:rsidRPr="00D1770F">
          <w:rPr>
            <w:rStyle w:val="Hyperlink"/>
          </w:rPr>
          <w:t>Virtualization</w:t>
        </w:r>
      </w:hyperlink>
      <w:r w:rsidR="008726DD" w:rsidRPr="008726DD">
        <w:t xml:space="preserve"> </w:t>
      </w:r>
    </w:p>
    <w:p w:rsidR="00C5542A" w:rsidRDefault="00C5542A">
      <w:pPr>
        <w:rPr>
          <w:rFonts w:ascii="Verdana" w:hAnsi="Verdana"/>
          <w:color w:val="000000"/>
        </w:rPr>
      </w:pPr>
      <w:r>
        <w:br w:type="page"/>
      </w:r>
    </w:p>
    <w:p w:rsidR="008726DD" w:rsidRDefault="008726DD" w:rsidP="008726DD">
      <w:pPr>
        <w:pStyle w:val="Text"/>
        <w:ind w:left="360"/>
      </w:pPr>
    </w:p>
    <w:p w:rsidR="008726DD" w:rsidRPr="008726DD" w:rsidRDefault="008726DD" w:rsidP="00D1770F">
      <w:pPr>
        <w:pStyle w:val="Label"/>
      </w:pPr>
      <w:r w:rsidRPr="008726DD">
        <w:t>IBM Licensing</w:t>
      </w:r>
    </w:p>
    <w:p w:rsidR="008726DD" w:rsidRPr="008726DD" w:rsidRDefault="00A601F0" w:rsidP="00A25F3E">
      <w:pPr>
        <w:pStyle w:val="BulletedList1"/>
      </w:pPr>
      <w:hyperlink r:id="rId37" w:anchor="authorizeduserdefinition" w:history="1">
        <w:r w:rsidR="00D1770F">
          <w:rPr>
            <w:rStyle w:val="Hyperlink"/>
          </w:rPr>
          <w:t>Which Edition of DB2 Is Right for You?</w:t>
        </w:r>
      </w:hyperlink>
      <w:r w:rsidR="008726DD" w:rsidRPr="008726DD">
        <w:t xml:space="preserve">  </w:t>
      </w:r>
    </w:p>
    <w:p w:rsidR="008726DD" w:rsidRDefault="00A601F0" w:rsidP="00A25F3E">
      <w:pPr>
        <w:pStyle w:val="BulletedList1"/>
      </w:pPr>
      <w:hyperlink r:id="rId38" w:history="1">
        <w:r w:rsidR="008726DD" w:rsidRPr="00D1770F">
          <w:rPr>
            <w:rStyle w:val="Hyperlink"/>
          </w:rPr>
          <w:t>IBM Software Online Catalog</w:t>
        </w:r>
      </w:hyperlink>
      <w:r w:rsidR="008726DD" w:rsidRPr="008726DD">
        <w:t xml:space="preserve"> </w:t>
      </w:r>
    </w:p>
    <w:p w:rsidR="008726DD" w:rsidRPr="008726DD" w:rsidRDefault="008726DD" w:rsidP="008726DD">
      <w:pPr>
        <w:pStyle w:val="Text"/>
        <w:ind w:left="1080"/>
      </w:pPr>
    </w:p>
    <w:p w:rsidR="008726DD" w:rsidRPr="008726DD" w:rsidRDefault="008726DD" w:rsidP="00D1770F">
      <w:pPr>
        <w:pStyle w:val="Label"/>
      </w:pPr>
      <w:r w:rsidRPr="008726DD">
        <w:t>Oracle Licensing</w:t>
      </w:r>
    </w:p>
    <w:p w:rsidR="008726DD" w:rsidRPr="008726DD" w:rsidRDefault="00A601F0" w:rsidP="00A25F3E">
      <w:pPr>
        <w:pStyle w:val="BulletedList1"/>
      </w:pPr>
      <w:hyperlink r:id="rId39" w:history="1">
        <w:r w:rsidR="008726DD" w:rsidRPr="00D1770F">
          <w:rPr>
            <w:rStyle w:val="Hyperlink"/>
          </w:rPr>
          <w:t>Licensing</w:t>
        </w:r>
      </w:hyperlink>
      <w:r w:rsidR="008726DD" w:rsidRPr="008726DD">
        <w:t xml:space="preserve">  </w:t>
      </w:r>
    </w:p>
    <w:p w:rsidR="008726DD" w:rsidRPr="008726DD" w:rsidRDefault="00A601F0" w:rsidP="00A25F3E">
      <w:pPr>
        <w:pStyle w:val="BulletedList1"/>
      </w:pPr>
      <w:hyperlink r:id="rId40" w:history="1">
        <w:r w:rsidR="008726DD" w:rsidRPr="00D1770F">
          <w:rPr>
            <w:rStyle w:val="Hyperlink"/>
          </w:rPr>
          <w:t>User Minimums</w:t>
        </w:r>
      </w:hyperlink>
      <w:r w:rsidR="008726DD" w:rsidRPr="008726DD">
        <w:t xml:space="preserve">  </w:t>
      </w:r>
    </w:p>
    <w:p w:rsidR="008726DD" w:rsidRPr="008726DD" w:rsidRDefault="00A601F0" w:rsidP="00A25F3E">
      <w:pPr>
        <w:pStyle w:val="BulletedList1"/>
      </w:pPr>
      <w:hyperlink r:id="rId41" w:history="1">
        <w:r w:rsidR="008726DD" w:rsidRPr="00D1770F">
          <w:rPr>
            <w:rStyle w:val="Hyperlink"/>
          </w:rPr>
          <w:t>Software Investment Guide</w:t>
        </w:r>
      </w:hyperlink>
      <w:r w:rsidR="008726DD" w:rsidRPr="008726DD">
        <w:t xml:space="preserve">  </w:t>
      </w:r>
    </w:p>
    <w:p w:rsidR="008726DD" w:rsidRPr="008726DD" w:rsidRDefault="00A601F0" w:rsidP="00A25F3E">
      <w:pPr>
        <w:pStyle w:val="BulletedList1"/>
      </w:pPr>
      <w:hyperlink r:id="rId42" w:history="1">
        <w:r w:rsidR="008726DD" w:rsidRPr="00D1770F">
          <w:rPr>
            <w:rStyle w:val="Hyperlink"/>
          </w:rPr>
          <w:t>Oracle Pricing List</w:t>
        </w:r>
      </w:hyperlink>
      <w:r w:rsidR="008726DD" w:rsidRPr="008726DD">
        <w:t xml:space="preserve">  </w:t>
      </w:r>
    </w:p>
    <w:p w:rsidR="008726DD" w:rsidRPr="008726DD" w:rsidRDefault="008726DD" w:rsidP="008726DD">
      <w:pPr>
        <w:pStyle w:val="Text"/>
      </w:pPr>
    </w:p>
    <w:p w:rsidR="00095228" w:rsidRDefault="00095228" w:rsidP="00095228">
      <w:pPr>
        <w:pStyle w:val="Text"/>
        <w:rPr>
          <w:rStyle w:val="Bold"/>
        </w:rPr>
      </w:pPr>
      <w:r>
        <w:rPr>
          <w:rStyle w:val="Bold"/>
        </w:rPr>
        <w:t>For more information:</w:t>
      </w:r>
    </w:p>
    <w:p w:rsidR="00095228" w:rsidRDefault="00A601F0" w:rsidP="00A25F3E">
      <w:pPr>
        <w:pStyle w:val="BulletedList1"/>
      </w:pPr>
      <w:hyperlink r:id="rId43" w:history="1">
        <w:r w:rsidR="00D27306" w:rsidRPr="00A25F3E">
          <w:rPr>
            <w:rStyle w:val="Hyperlink"/>
          </w:rPr>
          <w:t>SQL Server Web site</w:t>
        </w:r>
      </w:hyperlink>
      <w:r w:rsidR="00D27306">
        <w:t xml:space="preserve">  </w:t>
      </w:r>
    </w:p>
    <w:p w:rsidR="00D27306" w:rsidRDefault="00A601F0" w:rsidP="00A25F3E">
      <w:pPr>
        <w:pStyle w:val="BulletedList1"/>
      </w:pPr>
      <w:hyperlink r:id="rId44" w:history="1">
        <w:r w:rsidR="00D27306" w:rsidRPr="00A25F3E">
          <w:rPr>
            <w:rStyle w:val="Hyperlink"/>
          </w:rPr>
          <w:t>SQL Server TechCenter</w:t>
        </w:r>
      </w:hyperlink>
      <w:r w:rsidR="00D27306">
        <w:t xml:space="preserve">  </w:t>
      </w:r>
    </w:p>
    <w:p w:rsidR="00D27306" w:rsidRDefault="00A601F0" w:rsidP="00A25F3E">
      <w:pPr>
        <w:pStyle w:val="BulletedList1"/>
      </w:pPr>
      <w:hyperlink r:id="rId45" w:history="1">
        <w:r w:rsidR="00C64A0A">
          <w:rPr>
            <w:rStyle w:val="Hyperlink"/>
          </w:rPr>
          <w:t>SQL Server Developer Center</w:t>
        </w:r>
      </w:hyperlink>
      <w:r w:rsidR="00D27306">
        <w:t xml:space="preserve">  </w:t>
      </w:r>
    </w:p>
    <w:p w:rsidR="00095228" w:rsidRDefault="00095228" w:rsidP="00095228">
      <w:pPr>
        <w:pStyle w:val="Text"/>
      </w:pPr>
    </w:p>
    <w:p w:rsidR="00C91373" w:rsidRDefault="00095228" w:rsidP="0049767E">
      <w:pPr>
        <w:pStyle w:val="Text"/>
      </w:pPr>
      <w:r>
        <w:t xml:space="preserve">Did this paper help you? Please give us your feedback. </w:t>
      </w:r>
      <w:r w:rsidR="00C91373">
        <w:t xml:space="preserve">Tell us on </w:t>
      </w:r>
      <w:r>
        <w:t>a scale of 1 (poor) to 5 (excellent),</w:t>
      </w:r>
      <w:r w:rsidR="00C91373">
        <w:t xml:space="preserve"> </w:t>
      </w:r>
      <w:r w:rsidR="00C91373" w:rsidRPr="00C91373">
        <w:t>how would you rate this paper</w:t>
      </w:r>
      <w:r w:rsidR="00C91373">
        <w:t xml:space="preserve"> and why have you given it this rating? For example:</w:t>
      </w:r>
    </w:p>
    <w:p w:rsidR="00C91373" w:rsidRDefault="00C91373" w:rsidP="00C91373">
      <w:pPr>
        <w:pStyle w:val="Text"/>
        <w:numPr>
          <w:ilvl w:val="0"/>
          <w:numId w:val="17"/>
        </w:numPr>
      </w:pPr>
      <w:r>
        <w:t xml:space="preserve">Are you rating it high due to having good examples, excellent screenshots, clear writing, or another reason? </w:t>
      </w:r>
    </w:p>
    <w:p w:rsidR="00C91373" w:rsidRDefault="00C91373" w:rsidP="00C91373">
      <w:pPr>
        <w:pStyle w:val="Text"/>
        <w:numPr>
          <w:ilvl w:val="0"/>
          <w:numId w:val="17"/>
        </w:numPr>
      </w:pPr>
      <w:r>
        <w:t>Are you rating it low due to poor examples, fuzzy screenshots, unclear writing?</w:t>
      </w:r>
    </w:p>
    <w:p w:rsidR="008A5678" w:rsidRPr="00AE637C" w:rsidRDefault="00C91373" w:rsidP="00C91373">
      <w:pPr>
        <w:pStyle w:val="Text"/>
      </w:pPr>
      <w:r>
        <w:t xml:space="preserve">This feedback will help us improve the quality of white papers we release. </w:t>
      </w:r>
      <w:hyperlink r:id="rId46" w:history="1">
        <w:r w:rsidRPr="00C91373">
          <w:rPr>
            <w:rStyle w:val="Hyperlink"/>
          </w:rPr>
          <w:t>Send feedback</w:t>
        </w:r>
      </w:hyperlink>
      <w:r>
        <w:t>.</w:t>
      </w:r>
    </w:p>
    <w:sectPr w:rsidR="008A5678" w:rsidRPr="00AE637C" w:rsidSect="00833B98">
      <w:type w:val="continuous"/>
      <w:pgSz w:w="12240" w:h="15840"/>
      <w:pgMar w:top="1440" w:right="1660" w:bottom="1440" w:left="1660" w:header="1020" w:footer="10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B15" w:rsidRDefault="00613B15">
      <w:r>
        <w:separator/>
      </w:r>
    </w:p>
  </w:endnote>
  <w:endnote w:type="continuationSeparator" w:id="1">
    <w:p w:rsidR="00613B15" w:rsidRDefault="00613B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8A" w:rsidRDefault="00A77B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8A" w:rsidRDefault="00A77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B15" w:rsidRDefault="00613B15">
      <w:r>
        <w:separator/>
      </w:r>
    </w:p>
  </w:footnote>
  <w:footnote w:type="continuationSeparator" w:id="1">
    <w:p w:rsidR="00613B15" w:rsidRDefault="00613B15">
      <w:r>
        <w:continuationSeparator/>
      </w:r>
    </w:p>
  </w:footnote>
  <w:footnote w:id="2">
    <w:p w:rsidR="00A77B8A" w:rsidRDefault="00A77B8A" w:rsidP="008726DD">
      <w:pPr>
        <w:pStyle w:val="FootnoteText"/>
      </w:pPr>
      <w:r>
        <w:rPr>
          <w:rStyle w:val="FootnoteReference"/>
        </w:rPr>
        <w:footnoteRef/>
      </w:r>
      <w:r>
        <w:t xml:space="preserve"> </w:t>
      </w:r>
      <w:hyperlink r:id="rId1" w:history="1">
        <w:r w:rsidRPr="003B790A">
          <w:rPr>
            <w:rStyle w:val="Hyperlink"/>
          </w:rPr>
          <w:t>http://www.microsoft.com/sql/evaluation/compare/tco.asp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8A" w:rsidRDefault="00A77B8A">
    <w:pPr>
      <w:pStyle w:val="Header"/>
    </w:pPr>
    <w:r>
      <w:t>Understanding Database Pricing &amp; Licensing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132"/>
      <w:docPartObj>
        <w:docPartGallery w:val="Page Numbers (Top of Page)"/>
        <w:docPartUnique/>
      </w:docPartObj>
    </w:sdtPr>
    <w:sdtContent>
      <w:p w:rsidR="00A77B8A" w:rsidRDefault="00A77B8A">
        <w:pPr>
          <w:pStyle w:val="Header"/>
          <w:jc w:val="right"/>
        </w:pPr>
        <w:fldSimple w:instr=" PAGE   \* MERGEFORMAT ">
          <w:r w:rsidR="007C01AB">
            <w:rPr>
              <w:noProof/>
            </w:rPr>
            <w:t>13</w:t>
          </w:r>
        </w:fldSimple>
      </w:p>
    </w:sdtContent>
  </w:sdt>
  <w:p w:rsidR="00A77B8A" w:rsidRDefault="00A77B8A">
    <w:pPr>
      <w:pStyle w:val="Header"/>
    </w:pPr>
    <w:r>
      <w:t>Understanding Database Pricing &amp; Licensing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8A" w:rsidRDefault="00A77B8A">
    <w:pPr>
      <w:pStyle w:val="Header"/>
      <w:jc w:val="right"/>
    </w:pPr>
  </w:p>
  <w:p w:rsidR="00A77B8A" w:rsidRDefault="00A77B8A" w:rsidP="00C44052">
    <w:pPr>
      <w:pStyle w:val="Header"/>
      <w:tabs>
        <w:tab w:val="left" w:pos="-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B3D"/>
    <w:multiLevelType w:val="hybridMultilevel"/>
    <w:tmpl w:val="3708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3D1D99"/>
    <w:multiLevelType w:val="hybridMultilevel"/>
    <w:tmpl w:val="64C0AF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6F0870"/>
    <w:multiLevelType w:val="hybridMultilevel"/>
    <w:tmpl w:val="AD02B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8C159A"/>
    <w:multiLevelType w:val="hybridMultilevel"/>
    <w:tmpl w:val="C49E8E6E"/>
    <w:lvl w:ilvl="0" w:tplc="7EBEC210">
      <w:start w:val="1"/>
      <w:numFmt w:val="bullet"/>
      <w:lvlText w:val="·"/>
      <w:lvlJc w:val="left"/>
      <w:pPr>
        <w:tabs>
          <w:tab w:val="num" w:pos="720"/>
        </w:tabs>
        <w:ind w:left="720" w:hanging="360"/>
      </w:pPr>
      <w:rPr>
        <w:rFonts w:ascii="Courier New" w:hAnsi="Courier New" w:cs="Times New Roman"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1A26E07"/>
    <w:multiLevelType w:val="hybridMultilevel"/>
    <w:tmpl w:val="1BACF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D23E48"/>
    <w:multiLevelType w:val="multilevel"/>
    <w:tmpl w:val="5C6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B93B79"/>
    <w:multiLevelType w:val="hybridMultilevel"/>
    <w:tmpl w:val="8692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A636DB"/>
    <w:multiLevelType w:val="hybridMultilevel"/>
    <w:tmpl w:val="63E6F75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0">
    <w:nsid w:val="51CD6757"/>
    <w:multiLevelType w:val="hybridMultilevel"/>
    <w:tmpl w:val="8446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461D17"/>
    <w:multiLevelType w:val="multilevel"/>
    <w:tmpl w:val="421A54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14">
    <w:nsid w:val="6D580DCA"/>
    <w:multiLevelType w:val="hybridMultilevel"/>
    <w:tmpl w:val="61E88592"/>
    <w:lvl w:ilvl="0" w:tplc="F1A023E4">
      <w:start w:val="25"/>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6">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17">
    <w:nsid w:val="74F94B2C"/>
    <w:multiLevelType w:val="hybridMultilevel"/>
    <w:tmpl w:val="3D2C3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7D56557"/>
    <w:multiLevelType w:val="hybridMultilevel"/>
    <w:tmpl w:val="2F54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5"/>
  </w:num>
  <w:num w:numId="4">
    <w:abstractNumId w:val="12"/>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3"/>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5"/>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1"/>
  </w:num>
  <w:num w:numId="19">
    <w:abstractNumId w:val="18"/>
  </w:num>
  <w:num w:numId="20">
    <w:abstractNumId w:val="7"/>
  </w:num>
  <w:num w:numId="21">
    <w:abstractNumId w:val="0"/>
  </w:num>
  <w:num w:numId="22">
    <w:abstractNumId w:val="10"/>
  </w:num>
  <w:num w:numId="23">
    <w:abstractNumId w:val="1"/>
  </w:num>
  <w:num w:numId="24">
    <w:abstractNumId w:val="2"/>
  </w:num>
  <w:num w:numId="25">
    <w:abstractNumId w:val="17"/>
  </w:num>
  <w:num w:numId="26">
    <w:abstractNumId w:val="14"/>
  </w:num>
  <w:num w:numId="27">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attachedTemplate r:id="rId1"/>
  <w:linkStyles/>
  <w:stylePaneFormatFilter w:val="3001"/>
  <w:defaultTabStop w:val="720"/>
  <w:evenAndOddHeaders/>
  <w:drawingGridHorizontalSpacing w:val="100"/>
  <w:displayHorizontalDrawingGridEvery w:val="2"/>
  <w:displayVerticalDrawingGridEvery w:val="2"/>
  <w:noPunctuationKerning/>
  <w:characterSpacingControl w:val="doNotCompress"/>
  <w:hdrShapeDefaults>
    <o:shapedefaults v:ext="edit" spidmax="54274"/>
  </w:hdrShapeDefaults>
  <w:footnotePr>
    <w:footnote w:id="0"/>
    <w:footnote w:id="1"/>
  </w:footnotePr>
  <w:endnotePr>
    <w:endnote w:id="0"/>
    <w:endnote w:id="1"/>
  </w:endnotePr>
  <w:compat>
    <w:useFELayout/>
  </w:compat>
  <w:rsids>
    <w:rsidRoot w:val="0070516A"/>
    <w:rsid w:val="0000079A"/>
    <w:rsid w:val="00001F60"/>
    <w:rsid w:val="0000260B"/>
    <w:rsid w:val="00002786"/>
    <w:rsid w:val="00002EF2"/>
    <w:rsid w:val="000040A0"/>
    <w:rsid w:val="000040C4"/>
    <w:rsid w:val="00006562"/>
    <w:rsid w:val="000100F8"/>
    <w:rsid w:val="00011219"/>
    <w:rsid w:val="00013EA8"/>
    <w:rsid w:val="00014376"/>
    <w:rsid w:val="00015168"/>
    <w:rsid w:val="00016110"/>
    <w:rsid w:val="0001669A"/>
    <w:rsid w:val="000202B7"/>
    <w:rsid w:val="00020910"/>
    <w:rsid w:val="00022143"/>
    <w:rsid w:val="00023996"/>
    <w:rsid w:val="00023BBC"/>
    <w:rsid w:val="000247CE"/>
    <w:rsid w:val="00030901"/>
    <w:rsid w:val="00031081"/>
    <w:rsid w:val="0003390C"/>
    <w:rsid w:val="00042008"/>
    <w:rsid w:val="000438E5"/>
    <w:rsid w:val="00044058"/>
    <w:rsid w:val="000505FF"/>
    <w:rsid w:val="00050645"/>
    <w:rsid w:val="0005152F"/>
    <w:rsid w:val="00052FB7"/>
    <w:rsid w:val="00057192"/>
    <w:rsid w:val="00057887"/>
    <w:rsid w:val="00057AD4"/>
    <w:rsid w:val="000602D9"/>
    <w:rsid w:val="0006036A"/>
    <w:rsid w:val="0006099A"/>
    <w:rsid w:val="00061A9A"/>
    <w:rsid w:val="0006427E"/>
    <w:rsid w:val="00064830"/>
    <w:rsid w:val="000676B0"/>
    <w:rsid w:val="00067856"/>
    <w:rsid w:val="000714EA"/>
    <w:rsid w:val="00074A70"/>
    <w:rsid w:val="000763ED"/>
    <w:rsid w:val="00076701"/>
    <w:rsid w:val="00080BA0"/>
    <w:rsid w:val="00083899"/>
    <w:rsid w:val="00087B97"/>
    <w:rsid w:val="00091906"/>
    <w:rsid w:val="00094664"/>
    <w:rsid w:val="00094C74"/>
    <w:rsid w:val="00095228"/>
    <w:rsid w:val="0009661B"/>
    <w:rsid w:val="000A03AD"/>
    <w:rsid w:val="000A224C"/>
    <w:rsid w:val="000A49F5"/>
    <w:rsid w:val="000A686A"/>
    <w:rsid w:val="000A7BE0"/>
    <w:rsid w:val="000B268F"/>
    <w:rsid w:val="000B45BF"/>
    <w:rsid w:val="000B64A0"/>
    <w:rsid w:val="000B64D7"/>
    <w:rsid w:val="000C0FAA"/>
    <w:rsid w:val="000C6959"/>
    <w:rsid w:val="000C76A1"/>
    <w:rsid w:val="000D246F"/>
    <w:rsid w:val="000D26D5"/>
    <w:rsid w:val="000D7473"/>
    <w:rsid w:val="000E5333"/>
    <w:rsid w:val="000E65AE"/>
    <w:rsid w:val="000F4EE2"/>
    <w:rsid w:val="000F7060"/>
    <w:rsid w:val="0010043F"/>
    <w:rsid w:val="0010133C"/>
    <w:rsid w:val="00103C22"/>
    <w:rsid w:val="00104ED9"/>
    <w:rsid w:val="00110616"/>
    <w:rsid w:val="00111FDA"/>
    <w:rsid w:val="00112793"/>
    <w:rsid w:val="00113B19"/>
    <w:rsid w:val="0011483F"/>
    <w:rsid w:val="00121D1D"/>
    <w:rsid w:val="00121F95"/>
    <w:rsid w:val="00122513"/>
    <w:rsid w:val="001237BB"/>
    <w:rsid w:val="001254DF"/>
    <w:rsid w:val="00125F01"/>
    <w:rsid w:val="00126BC4"/>
    <w:rsid w:val="001309C3"/>
    <w:rsid w:val="00130A16"/>
    <w:rsid w:val="001318CE"/>
    <w:rsid w:val="001326B5"/>
    <w:rsid w:val="00133046"/>
    <w:rsid w:val="001336DA"/>
    <w:rsid w:val="0013499B"/>
    <w:rsid w:val="00143809"/>
    <w:rsid w:val="00143A51"/>
    <w:rsid w:val="00144D15"/>
    <w:rsid w:val="001464C8"/>
    <w:rsid w:val="00146FF0"/>
    <w:rsid w:val="00156193"/>
    <w:rsid w:val="001565E2"/>
    <w:rsid w:val="0016317E"/>
    <w:rsid w:val="00164E2E"/>
    <w:rsid w:val="00166DE3"/>
    <w:rsid w:val="00167AFB"/>
    <w:rsid w:val="00170C99"/>
    <w:rsid w:val="00170E30"/>
    <w:rsid w:val="00177275"/>
    <w:rsid w:val="001777B7"/>
    <w:rsid w:val="00177F10"/>
    <w:rsid w:val="0018054D"/>
    <w:rsid w:val="00180EA5"/>
    <w:rsid w:val="00181979"/>
    <w:rsid w:val="00181FE8"/>
    <w:rsid w:val="00186266"/>
    <w:rsid w:val="001876A4"/>
    <w:rsid w:val="00192B7C"/>
    <w:rsid w:val="00194115"/>
    <w:rsid w:val="00194533"/>
    <w:rsid w:val="0019465B"/>
    <w:rsid w:val="00196229"/>
    <w:rsid w:val="00196400"/>
    <w:rsid w:val="0019674C"/>
    <w:rsid w:val="001A388A"/>
    <w:rsid w:val="001A4ACB"/>
    <w:rsid w:val="001A5241"/>
    <w:rsid w:val="001A6581"/>
    <w:rsid w:val="001B0645"/>
    <w:rsid w:val="001B12F7"/>
    <w:rsid w:val="001B1675"/>
    <w:rsid w:val="001B24E1"/>
    <w:rsid w:val="001B2CA5"/>
    <w:rsid w:val="001B2FC6"/>
    <w:rsid w:val="001B5B7C"/>
    <w:rsid w:val="001B629B"/>
    <w:rsid w:val="001B6C1F"/>
    <w:rsid w:val="001B7315"/>
    <w:rsid w:val="001B788C"/>
    <w:rsid w:val="001C1F03"/>
    <w:rsid w:val="001C20EF"/>
    <w:rsid w:val="001C357A"/>
    <w:rsid w:val="001C3BBE"/>
    <w:rsid w:val="001C5915"/>
    <w:rsid w:val="001C6F8D"/>
    <w:rsid w:val="001C7C81"/>
    <w:rsid w:val="001D121D"/>
    <w:rsid w:val="001D1AFA"/>
    <w:rsid w:val="001D3FB0"/>
    <w:rsid w:val="001D5282"/>
    <w:rsid w:val="001D76DE"/>
    <w:rsid w:val="001E059F"/>
    <w:rsid w:val="001E0EF8"/>
    <w:rsid w:val="001E1D49"/>
    <w:rsid w:val="001E20AF"/>
    <w:rsid w:val="001E5014"/>
    <w:rsid w:val="001E5089"/>
    <w:rsid w:val="001E5807"/>
    <w:rsid w:val="001E5E4A"/>
    <w:rsid w:val="001F088F"/>
    <w:rsid w:val="001F0A9B"/>
    <w:rsid w:val="001F0D83"/>
    <w:rsid w:val="001F1EEB"/>
    <w:rsid w:val="001F31DB"/>
    <w:rsid w:val="001F54CE"/>
    <w:rsid w:val="001F59B7"/>
    <w:rsid w:val="001F6C39"/>
    <w:rsid w:val="001F7FAB"/>
    <w:rsid w:val="00201AA4"/>
    <w:rsid w:val="002021D1"/>
    <w:rsid w:val="00205AD3"/>
    <w:rsid w:val="00211327"/>
    <w:rsid w:val="0021681E"/>
    <w:rsid w:val="00220916"/>
    <w:rsid w:val="00221A2C"/>
    <w:rsid w:val="00224EF1"/>
    <w:rsid w:val="0022559E"/>
    <w:rsid w:val="00227A80"/>
    <w:rsid w:val="002309C2"/>
    <w:rsid w:val="0023392E"/>
    <w:rsid w:val="002339DF"/>
    <w:rsid w:val="00236DAF"/>
    <w:rsid w:val="00241C3A"/>
    <w:rsid w:val="00243AEC"/>
    <w:rsid w:val="00244CB7"/>
    <w:rsid w:val="0024710C"/>
    <w:rsid w:val="00250485"/>
    <w:rsid w:val="002504F9"/>
    <w:rsid w:val="00250C38"/>
    <w:rsid w:val="00255888"/>
    <w:rsid w:val="00257BE7"/>
    <w:rsid w:val="0026129E"/>
    <w:rsid w:val="00263CCF"/>
    <w:rsid w:val="0026496D"/>
    <w:rsid w:val="00265DE1"/>
    <w:rsid w:val="002667A6"/>
    <w:rsid w:val="00267E84"/>
    <w:rsid w:val="00270515"/>
    <w:rsid w:val="0027180A"/>
    <w:rsid w:val="0027339E"/>
    <w:rsid w:val="0027478C"/>
    <w:rsid w:val="00276388"/>
    <w:rsid w:val="002769FB"/>
    <w:rsid w:val="00286C12"/>
    <w:rsid w:val="002941F9"/>
    <w:rsid w:val="00294E1C"/>
    <w:rsid w:val="002959A6"/>
    <w:rsid w:val="0029779A"/>
    <w:rsid w:val="002A0C2F"/>
    <w:rsid w:val="002A497F"/>
    <w:rsid w:val="002A4C71"/>
    <w:rsid w:val="002A5133"/>
    <w:rsid w:val="002A552F"/>
    <w:rsid w:val="002B1521"/>
    <w:rsid w:val="002B3978"/>
    <w:rsid w:val="002B3B1B"/>
    <w:rsid w:val="002B5C6D"/>
    <w:rsid w:val="002B6F6A"/>
    <w:rsid w:val="002B6FE4"/>
    <w:rsid w:val="002B704E"/>
    <w:rsid w:val="002C2684"/>
    <w:rsid w:val="002C40A0"/>
    <w:rsid w:val="002C4B04"/>
    <w:rsid w:val="002D0BC6"/>
    <w:rsid w:val="002D1011"/>
    <w:rsid w:val="002D129F"/>
    <w:rsid w:val="002D1CDC"/>
    <w:rsid w:val="002D1F8A"/>
    <w:rsid w:val="002D4D74"/>
    <w:rsid w:val="002D73E0"/>
    <w:rsid w:val="002E0DDD"/>
    <w:rsid w:val="002E1CF0"/>
    <w:rsid w:val="002E2381"/>
    <w:rsid w:val="002E3CF4"/>
    <w:rsid w:val="002E3DFF"/>
    <w:rsid w:val="002E467D"/>
    <w:rsid w:val="002E51D1"/>
    <w:rsid w:val="002E7D50"/>
    <w:rsid w:val="002F3BD0"/>
    <w:rsid w:val="002F4C37"/>
    <w:rsid w:val="002F7E17"/>
    <w:rsid w:val="00300871"/>
    <w:rsid w:val="003048FD"/>
    <w:rsid w:val="0030518C"/>
    <w:rsid w:val="003066D0"/>
    <w:rsid w:val="00307E0A"/>
    <w:rsid w:val="00313881"/>
    <w:rsid w:val="00314260"/>
    <w:rsid w:val="003145FC"/>
    <w:rsid w:val="00314836"/>
    <w:rsid w:val="00316242"/>
    <w:rsid w:val="00316F8D"/>
    <w:rsid w:val="00321D20"/>
    <w:rsid w:val="00321D61"/>
    <w:rsid w:val="00321E0A"/>
    <w:rsid w:val="00322E55"/>
    <w:rsid w:val="0032463F"/>
    <w:rsid w:val="003254BC"/>
    <w:rsid w:val="00325BE1"/>
    <w:rsid w:val="00327A77"/>
    <w:rsid w:val="00330179"/>
    <w:rsid w:val="00331A08"/>
    <w:rsid w:val="00332D69"/>
    <w:rsid w:val="00333194"/>
    <w:rsid w:val="00333C41"/>
    <w:rsid w:val="003349AB"/>
    <w:rsid w:val="003352D9"/>
    <w:rsid w:val="00343662"/>
    <w:rsid w:val="00345AD2"/>
    <w:rsid w:val="00346A3F"/>
    <w:rsid w:val="003501F6"/>
    <w:rsid w:val="00350426"/>
    <w:rsid w:val="00350891"/>
    <w:rsid w:val="00350F73"/>
    <w:rsid w:val="003514BC"/>
    <w:rsid w:val="00353125"/>
    <w:rsid w:val="00355380"/>
    <w:rsid w:val="0035633A"/>
    <w:rsid w:val="00356E82"/>
    <w:rsid w:val="0036059D"/>
    <w:rsid w:val="00361B40"/>
    <w:rsid w:val="00362F9F"/>
    <w:rsid w:val="00364C02"/>
    <w:rsid w:val="00366DC9"/>
    <w:rsid w:val="00372BEE"/>
    <w:rsid w:val="0037406A"/>
    <w:rsid w:val="0037614F"/>
    <w:rsid w:val="00376767"/>
    <w:rsid w:val="00380B73"/>
    <w:rsid w:val="00382466"/>
    <w:rsid w:val="0038536D"/>
    <w:rsid w:val="00385AFD"/>
    <w:rsid w:val="00385D2E"/>
    <w:rsid w:val="00386549"/>
    <w:rsid w:val="003875F8"/>
    <w:rsid w:val="003900A8"/>
    <w:rsid w:val="0039344B"/>
    <w:rsid w:val="00395C0D"/>
    <w:rsid w:val="003A3650"/>
    <w:rsid w:val="003A3D1B"/>
    <w:rsid w:val="003A5400"/>
    <w:rsid w:val="003A6601"/>
    <w:rsid w:val="003B3B1E"/>
    <w:rsid w:val="003B7D23"/>
    <w:rsid w:val="003C022C"/>
    <w:rsid w:val="003C1D69"/>
    <w:rsid w:val="003C23BF"/>
    <w:rsid w:val="003C34F0"/>
    <w:rsid w:val="003C7459"/>
    <w:rsid w:val="003C7FF7"/>
    <w:rsid w:val="003D066E"/>
    <w:rsid w:val="003D4457"/>
    <w:rsid w:val="003D46BE"/>
    <w:rsid w:val="003D605A"/>
    <w:rsid w:val="003D7373"/>
    <w:rsid w:val="003D7D3F"/>
    <w:rsid w:val="003E0BE9"/>
    <w:rsid w:val="003E33C7"/>
    <w:rsid w:val="003E4197"/>
    <w:rsid w:val="003F058D"/>
    <w:rsid w:val="003F0C05"/>
    <w:rsid w:val="003F385F"/>
    <w:rsid w:val="003F3A4B"/>
    <w:rsid w:val="003F3C83"/>
    <w:rsid w:val="003F4003"/>
    <w:rsid w:val="003F4C0C"/>
    <w:rsid w:val="003F5088"/>
    <w:rsid w:val="003F572B"/>
    <w:rsid w:val="003F791D"/>
    <w:rsid w:val="00403280"/>
    <w:rsid w:val="004041D4"/>
    <w:rsid w:val="004143A6"/>
    <w:rsid w:val="00415A55"/>
    <w:rsid w:val="00421D01"/>
    <w:rsid w:val="00421E16"/>
    <w:rsid w:val="00422132"/>
    <w:rsid w:val="004250B0"/>
    <w:rsid w:val="00425EDF"/>
    <w:rsid w:val="00431D81"/>
    <w:rsid w:val="00432E45"/>
    <w:rsid w:val="004332D1"/>
    <w:rsid w:val="00436133"/>
    <w:rsid w:val="004364B7"/>
    <w:rsid w:val="00437E3E"/>
    <w:rsid w:val="004420FF"/>
    <w:rsid w:val="00442213"/>
    <w:rsid w:val="00447BBF"/>
    <w:rsid w:val="00457107"/>
    <w:rsid w:val="00462318"/>
    <w:rsid w:val="00463725"/>
    <w:rsid w:val="004643D8"/>
    <w:rsid w:val="0046748F"/>
    <w:rsid w:val="0047279B"/>
    <w:rsid w:val="00475B1F"/>
    <w:rsid w:val="00476880"/>
    <w:rsid w:val="0047713D"/>
    <w:rsid w:val="00490B9F"/>
    <w:rsid w:val="00491421"/>
    <w:rsid w:val="00493DF4"/>
    <w:rsid w:val="00495C08"/>
    <w:rsid w:val="00496C29"/>
    <w:rsid w:val="0049767E"/>
    <w:rsid w:val="004A53BB"/>
    <w:rsid w:val="004A7C54"/>
    <w:rsid w:val="004B25EE"/>
    <w:rsid w:val="004B2791"/>
    <w:rsid w:val="004B6985"/>
    <w:rsid w:val="004B7C7E"/>
    <w:rsid w:val="004C0034"/>
    <w:rsid w:val="004C0073"/>
    <w:rsid w:val="004C27FB"/>
    <w:rsid w:val="004C4483"/>
    <w:rsid w:val="004C53B0"/>
    <w:rsid w:val="004C78F2"/>
    <w:rsid w:val="004D3B9B"/>
    <w:rsid w:val="004D48B5"/>
    <w:rsid w:val="004D74B7"/>
    <w:rsid w:val="004E1AD0"/>
    <w:rsid w:val="004E4910"/>
    <w:rsid w:val="004E4B17"/>
    <w:rsid w:val="004E5CEC"/>
    <w:rsid w:val="004E7773"/>
    <w:rsid w:val="004E7DD7"/>
    <w:rsid w:val="004F184D"/>
    <w:rsid w:val="004F281A"/>
    <w:rsid w:val="004F3560"/>
    <w:rsid w:val="004F406A"/>
    <w:rsid w:val="004F4B69"/>
    <w:rsid w:val="00501FAB"/>
    <w:rsid w:val="00502E78"/>
    <w:rsid w:val="00503488"/>
    <w:rsid w:val="005047AB"/>
    <w:rsid w:val="00504B63"/>
    <w:rsid w:val="0051402B"/>
    <w:rsid w:val="005170E8"/>
    <w:rsid w:val="00520520"/>
    <w:rsid w:val="005228C5"/>
    <w:rsid w:val="00523BAD"/>
    <w:rsid w:val="00524E06"/>
    <w:rsid w:val="005271D6"/>
    <w:rsid w:val="00533262"/>
    <w:rsid w:val="00535F99"/>
    <w:rsid w:val="00536A0D"/>
    <w:rsid w:val="005371BA"/>
    <w:rsid w:val="00544BBA"/>
    <w:rsid w:val="0054520C"/>
    <w:rsid w:val="005507AC"/>
    <w:rsid w:val="0055196D"/>
    <w:rsid w:val="005519C3"/>
    <w:rsid w:val="00552202"/>
    <w:rsid w:val="00552BCD"/>
    <w:rsid w:val="00556A2B"/>
    <w:rsid w:val="00556D42"/>
    <w:rsid w:val="00557983"/>
    <w:rsid w:val="005606AE"/>
    <w:rsid w:val="005637A5"/>
    <w:rsid w:val="0057378C"/>
    <w:rsid w:val="00573F92"/>
    <w:rsid w:val="005752C9"/>
    <w:rsid w:val="00580B1C"/>
    <w:rsid w:val="00582B44"/>
    <w:rsid w:val="0058406A"/>
    <w:rsid w:val="0058434D"/>
    <w:rsid w:val="00584ED2"/>
    <w:rsid w:val="005850D6"/>
    <w:rsid w:val="00590312"/>
    <w:rsid w:val="00593108"/>
    <w:rsid w:val="00594F0F"/>
    <w:rsid w:val="00595FD4"/>
    <w:rsid w:val="005A171C"/>
    <w:rsid w:val="005A1773"/>
    <w:rsid w:val="005A353A"/>
    <w:rsid w:val="005A370C"/>
    <w:rsid w:val="005A5A23"/>
    <w:rsid w:val="005A79FC"/>
    <w:rsid w:val="005B233A"/>
    <w:rsid w:val="005B38F7"/>
    <w:rsid w:val="005B7D48"/>
    <w:rsid w:val="005C05A0"/>
    <w:rsid w:val="005C190B"/>
    <w:rsid w:val="005C30CA"/>
    <w:rsid w:val="005C7863"/>
    <w:rsid w:val="005C7C3F"/>
    <w:rsid w:val="005C7E68"/>
    <w:rsid w:val="005D4474"/>
    <w:rsid w:val="005E0DB9"/>
    <w:rsid w:val="005E0DD4"/>
    <w:rsid w:val="005E32D1"/>
    <w:rsid w:val="005E3455"/>
    <w:rsid w:val="005E3E18"/>
    <w:rsid w:val="005E57F9"/>
    <w:rsid w:val="005E63C6"/>
    <w:rsid w:val="005E64C6"/>
    <w:rsid w:val="005E6CF9"/>
    <w:rsid w:val="005F2AB9"/>
    <w:rsid w:val="005F79E1"/>
    <w:rsid w:val="00601474"/>
    <w:rsid w:val="006017EC"/>
    <w:rsid w:val="006025D1"/>
    <w:rsid w:val="00605F5E"/>
    <w:rsid w:val="006075CB"/>
    <w:rsid w:val="00613B15"/>
    <w:rsid w:val="00614B5F"/>
    <w:rsid w:val="00617CBD"/>
    <w:rsid w:val="00622124"/>
    <w:rsid w:val="00632191"/>
    <w:rsid w:val="00634959"/>
    <w:rsid w:val="00636658"/>
    <w:rsid w:val="006407D6"/>
    <w:rsid w:val="0064212D"/>
    <w:rsid w:val="00642F2D"/>
    <w:rsid w:val="00643780"/>
    <w:rsid w:val="00644751"/>
    <w:rsid w:val="006452B4"/>
    <w:rsid w:val="006468CE"/>
    <w:rsid w:val="00650FAB"/>
    <w:rsid w:val="006539B8"/>
    <w:rsid w:val="00654FBE"/>
    <w:rsid w:val="006566F5"/>
    <w:rsid w:val="006712D1"/>
    <w:rsid w:val="00676B7B"/>
    <w:rsid w:val="00677E2D"/>
    <w:rsid w:val="00683356"/>
    <w:rsid w:val="00683CCF"/>
    <w:rsid w:val="00683F61"/>
    <w:rsid w:val="00684882"/>
    <w:rsid w:val="00687A36"/>
    <w:rsid w:val="00687C71"/>
    <w:rsid w:val="00690A78"/>
    <w:rsid w:val="00695A35"/>
    <w:rsid w:val="00696440"/>
    <w:rsid w:val="006A01FB"/>
    <w:rsid w:val="006A23F5"/>
    <w:rsid w:val="006A3D50"/>
    <w:rsid w:val="006A6FF6"/>
    <w:rsid w:val="006A7151"/>
    <w:rsid w:val="006A7E25"/>
    <w:rsid w:val="006B53E8"/>
    <w:rsid w:val="006B5464"/>
    <w:rsid w:val="006B6D6A"/>
    <w:rsid w:val="006B7C7D"/>
    <w:rsid w:val="006C10E4"/>
    <w:rsid w:val="006C4163"/>
    <w:rsid w:val="006C48C9"/>
    <w:rsid w:val="006C5148"/>
    <w:rsid w:val="006C5776"/>
    <w:rsid w:val="006C5F57"/>
    <w:rsid w:val="006C6781"/>
    <w:rsid w:val="006C707F"/>
    <w:rsid w:val="006C75F0"/>
    <w:rsid w:val="006D0120"/>
    <w:rsid w:val="006D096B"/>
    <w:rsid w:val="006D12D9"/>
    <w:rsid w:val="006D25CD"/>
    <w:rsid w:val="006D31EB"/>
    <w:rsid w:val="006D3AC7"/>
    <w:rsid w:val="006D4256"/>
    <w:rsid w:val="006E094F"/>
    <w:rsid w:val="006E0D3E"/>
    <w:rsid w:val="006E719B"/>
    <w:rsid w:val="006F1A7A"/>
    <w:rsid w:val="006F1C07"/>
    <w:rsid w:val="006F1FDA"/>
    <w:rsid w:val="006F6294"/>
    <w:rsid w:val="006F78A1"/>
    <w:rsid w:val="006F7BD9"/>
    <w:rsid w:val="006F7CB2"/>
    <w:rsid w:val="0070185E"/>
    <w:rsid w:val="00703084"/>
    <w:rsid w:val="0070516A"/>
    <w:rsid w:val="007057EE"/>
    <w:rsid w:val="007074FE"/>
    <w:rsid w:val="0071096F"/>
    <w:rsid w:val="00712DDB"/>
    <w:rsid w:val="00714477"/>
    <w:rsid w:val="007207C7"/>
    <w:rsid w:val="00721AFA"/>
    <w:rsid w:val="00726CC3"/>
    <w:rsid w:val="007275D9"/>
    <w:rsid w:val="00732B31"/>
    <w:rsid w:val="00732B4B"/>
    <w:rsid w:val="007347B4"/>
    <w:rsid w:val="00735FED"/>
    <w:rsid w:val="0074148C"/>
    <w:rsid w:val="00744729"/>
    <w:rsid w:val="00744C58"/>
    <w:rsid w:val="00747B6A"/>
    <w:rsid w:val="00752955"/>
    <w:rsid w:val="0075330C"/>
    <w:rsid w:val="00754703"/>
    <w:rsid w:val="00755D40"/>
    <w:rsid w:val="00757D25"/>
    <w:rsid w:val="00760F6E"/>
    <w:rsid w:val="007616AB"/>
    <w:rsid w:val="007645FD"/>
    <w:rsid w:val="00764F1F"/>
    <w:rsid w:val="007657A0"/>
    <w:rsid w:val="00765E7C"/>
    <w:rsid w:val="00767E33"/>
    <w:rsid w:val="00771061"/>
    <w:rsid w:val="00771994"/>
    <w:rsid w:val="00772ED5"/>
    <w:rsid w:val="007732B6"/>
    <w:rsid w:val="007739D0"/>
    <w:rsid w:val="007747C7"/>
    <w:rsid w:val="00775662"/>
    <w:rsid w:val="00780433"/>
    <w:rsid w:val="00780960"/>
    <w:rsid w:val="00790687"/>
    <w:rsid w:val="00791120"/>
    <w:rsid w:val="007969BC"/>
    <w:rsid w:val="007A0B21"/>
    <w:rsid w:val="007A19B8"/>
    <w:rsid w:val="007A53F0"/>
    <w:rsid w:val="007A5D38"/>
    <w:rsid w:val="007A6E7D"/>
    <w:rsid w:val="007B2527"/>
    <w:rsid w:val="007B34B1"/>
    <w:rsid w:val="007B5F5A"/>
    <w:rsid w:val="007B61A4"/>
    <w:rsid w:val="007C01AB"/>
    <w:rsid w:val="007C2EE1"/>
    <w:rsid w:val="007C3367"/>
    <w:rsid w:val="007C3D54"/>
    <w:rsid w:val="007C4475"/>
    <w:rsid w:val="007C6F8E"/>
    <w:rsid w:val="007C7CC0"/>
    <w:rsid w:val="007D0597"/>
    <w:rsid w:val="007D301D"/>
    <w:rsid w:val="007D55EA"/>
    <w:rsid w:val="007D6250"/>
    <w:rsid w:val="007D6C9E"/>
    <w:rsid w:val="007E1B15"/>
    <w:rsid w:val="007E2B1E"/>
    <w:rsid w:val="007E6244"/>
    <w:rsid w:val="007F16E9"/>
    <w:rsid w:val="007F2203"/>
    <w:rsid w:val="007F2530"/>
    <w:rsid w:val="007F3448"/>
    <w:rsid w:val="007F3A3E"/>
    <w:rsid w:val="007F420A"/>
    <w:rsid w:val="007F64B6"/>
    <w:rsid w:val="007F6FF9"/>
    <w:rsid w:val="008000D7"/>
    <w:rsid w:val="00802DCD"/>
    <w:rsid w:val="00804D8D"/>
    <w:rsid w:val="00806587"/>
    <w:rsid w:val="0080662F"/>
    <w:rsid w:val="008105EE"/>
    <w:rsid w:val="008131D7"/>
    <w:rsid w:val="00815531"/>
    <w:rsid w:val="00815E8C"/>
    <w:rsid w:val="008163D8"/>
    <w:rsid w:val="00816E6F"/>
    <w:rsid w:val="00817B9A"/>
    <w:rsid w:val="00820E32"/>
    <w:rsid w:val="00824892"/>
    <w:rsid w:val="00832275"/>
    <w:rsid w:val="00832849"/>
    <w:rsid w:val="0083352D"/>
    <w:rsid w:val="008336B4"/>
    <w:rsid w:val="00833B98"/>
    <w:rsid w:val="00836172"/>
    <w:rsid w:val="0084088F"/>
    <w:rsid w:val="00840CE5"/>
    <w:rsid w:val="00842EC2"/>
    <w:rsid w:val="00843FDC"/>
    <w:rsid w:val="0084498F"/>
    <w:rsid w:val="00845CB3"/>
    <w:rsid w:val="00851000"/>
    <w:rsid w:val="008519D2"/>
    <w:rsid w:val="00852161"/>
    <w:rsid w:val="00853757"/>
    <w:rsid w:val="00854BC8"/>
    <w:rsid w:val="00854C10"/>
    <w:rsid w:val="00855531"/>
    <w:rsid w:val="00855897"/>
    <w:rsid w:val="00857D6D"/>
    <w:rsid w:val="00861140"/>
    <w:rsid w:val="00861CF3"/>
    <w:rsid w:val="008624F0"/>
    <w:rsid w:val="00862701"/>
    <w:rsid w:val="00863F28"/>
    <w:rsid w:val="00866357"/>
    <w:rsid w:val="0086691F"/>
    <w:rsid w:val="008714AE"/>
    <w:rsid w:val="008726DD"/>
    <w:rsid w:val="00873E00"/>
    <w:rsid w:val="00877388"/>
    <w:rsid w:val="00881C7E"/>
    <w:rsid w:val="008844DF"/>
    <w:rsid w:val="008867DF"/>
    <w:rsid w:val="00890551"/>
    <w:rsid w:val="00890832"/>
    <w:rsid w:val="0089518D"/>
    <w:rsid w:val="008A0BF8"/>
    <w:rsid w:val="008A2B77"/>
    <w:rsid w:val="008A464F"/>
    <w:rsid w:val="008A5678"/>
    <w:rsid w:val="008A75DF"/>
    <w:rsid w:val="008A7B32"/>
    <w:rsid w:val="008B41E4"/>
    <w:rsid w:val="008B7267"/>
    <w:rsid w:val="008C4E60"/>
    <w:rsid w:val="008C525D"/>
    <w:rsid w:val="008C546B"/>
    <w:rsid w:val="008C5B8C"/>
    <w:rsid w:val="008C64DE"/>
    <w:rsid w:val="008C6C54"/>
    <w:rsid w:val="008C6ED3"/>
    <w:rsid w:val="008D2AAA"/>
    <w:rsid w:val="008D4E9E"/>
    <w:rsid w:val="008D50BC"/>
    <w:rsid w:val="008D5437"/>
    <w:rsid w:val="008D6EA7"/>
    <w:rsid w:val="008D74B4"/>
    <w:rsid w:val="008E1B8E"/>
    <w:rsid w:val="008E5E97"/>
    <w:rsid w:val="008E7979"/>
    <w:rsid w:val="008F1115"/>
    <w:rsid w:val="008F1989"/>
    <w:rsid w:val="008F1B23"/>
    <w:rsid w:val="008F2510"/>
    <w:rsid w:val="008F28C6"/>
    <w:rsid w:val="008F5209"/>
    <w:rsid w:val="0090015E"/>
    <w:rsid w:val="00901ECE"/>
    <w:rsid w:val="00902499"/>
    <w:rsid w:val="00902A29"/>
    <w:rsid w:val="00902D00"/>
    <w:rsid w:val="00907D8F"/>
    <w:rsid w:val="00910C27"/>
    <w:rsid w:val="009145A5"/>
    <w:rsid w:val="009155C1"/>
    <w:rsid w:val="00915B63"/>
    <w:rsid w:val="00915BBC"/>
    <w:rsid w:val="009233FA"/>
    <w:rsid w:val="00923E0F"/>
    <w:rsid w:val="0092601A"/>
    <w:rsid w:val="009267D3"/>
    <w:rsid w:val="0093030F"/>
    <w:rsid w:val="00930F97"/>
    <w:rsid w:val="00931FAA"/>
    <w:rsid w:val="00932F1E"/>
    <w:rsid w:val="00934C75"/>
    <w:rsid w:val="009376B3"/>
    <w:rsid w:val="009408DD"/>
    <w:rsid w:val="00941170"/>
    <w:rsid w:val="00941200"/>
    <w:rsid w:val="009430AB"/>
    <w:rsid w:val="00946457"/>
    <w:rsid w:val="00946581"/>
    <w:rsid w:val="009466FF"/>
    <w:rsid w:val="00946DC9"/>
    <w:rsid w:val="0095027F"/>
    <w:rsid w:val="009517F8"/>
    <w:rsid w:val="009536AD"/>
    <w:rsid w:val="009541C5"/>
    <w:rsid w:val="00955185"/>
    <w:rsid w:val="00956DE5"/>
    <w:rsid w:val="009608A8"/>
    <w:rsid w:val="00960BFE"/>
    <w:rsid w:val="0096240A"/>
    <w:rsid w:val="00970B30"/>
    <w:rsid w:val="00970BF0"/>
    <w:rsid w:val="0097387D"/>
    <w:rsid w:val="00976F23"/>
    <w:rsid w:val="00981B85"/>
    <w:rsid w:val="0098363B"/>
    <w:rsid w:val="00983F90"/>
    <w:rsid w:val="00985F60"/>
    <w:rsid w:val="00993E4E"/>
    <w:rsid w:val="00997820"/>
    <w:rsid w:val="009A41DF"/>
    <w:rsid w:val="009A51CA"/>
    <w:rsid w:val="009A54B2"/>
    <w:rsid w:val="009A5896"/>
    <w:rsid w:val="009B0FD7"/>
    <w:rsid w:val="009B1373"/>
    <w:rsid w:val="009B1791"/>
    <w:rsid w:val="009B3160"/>
    <w:rsid w:val="009B5453"/>
    <w:rsid w:val="009B67F4"/>
    <w:rsid w:val="009B7851"/>
    <w:rsid w:val="009C0A7C"/>
    <w:rsid w:val="009C25AD"/>
    <w:rsid w:val="009C4165"/>
    <w:rsid w:val="009C59BD"/>
    <w:rsid w:val="009C6F57"/>
    <w:rsid w:val="009C79AB"/>
    <w:rsid w:val="009C79F7"/>
    <w:rsid w:val="009D060D"/>
    <w:rsid w:val="009D0B78"/>
    <w:rsid w:val="009D1310"/>
    <w:rsid w:val="009D2D43"/>
    <w:rsid w:val="009E10B7"/>
    <w:rsid w:val="009E1506"/>
    <w:rsid w:val="009E2185"/>
    <w:rsid w:val="009E33DF"/>
    <w:rsid w:val="009E4376"/>
    <w:rsid w:val="009E4D42"/>
    <w:rsid w:val="009E6A41"/>
    <w:rsid w:val="009F236E"/>
    <w:rsid w:val="009F2D10"/>
    <w:rsid w:val="009F528E"/>
    <w:rsid w:val="009F776A"/>
    <w:rsid w:val="00A019BC"/>
    <w:rsid w:val="00A04031"/>
    <w:rsid w:val="00A041E2"/>
    <w:rsid w:val="00A04823"/>
    <w:rsid w:val="00A07A3D"/>
    <w:rsid w:val="00A07AF1"/>
    <w:rsid w:val="00A07F5A"/>
    <w:rsid w:val="00A1143E"/>
    <w:rsid w:val="00A148A2"/>
    <w:rsid w:val="00A17053"/>
    <w:rsid w:val="00A1788A"/>
    <w:rsid w:val="00A203B2"/>
    <w:rsid w:val="00A20CE2"/>
    <w:rsid w:val="00A22A33"/>
    <w:rsid w:val="00A233C5"/>
    <w:rsid w:val="00A23498"/>
    <w:rsid w:val="00A258C8"/>
    <w:rsid w:val="00A25F3E"/>
    <w:rsid w:val="00A271A3"/>
    <w:rsid w:val="00A316FA"/>
    <w:rsid w:val="00A31AB1"/>
    <w:rsid w:val="00A3385B"/>
    <w:rsid w:val="00A426F8"/>
    <w:rsid w:val="00A4396B"/>
    <w:rsid w:val="00A45ED4"/>
    <w:rsid w:val="00A46556"/>
    <w:rsid w:val="00A50E80"/>
    <w:rsid w:val="00A53A6A"/>
    <w:rsid w:val="00A53B81"/>
    <w:rsid w:val="00A549F4"/>
    <w:rsid w:val="00A601F0"/>
    <w:rsid w:val="00A60879"/>
    <w:rsid w:val="00A61082"/>
    <w:rsid w:val="00A61F0A"/>
    <w:rsid w:val="00A61F8F"/>
    <w:rsid w:val="00A64199"/>
    <w:rsid w:val="00A67ACA"/>
    <w:rsid w:val="00A7090C"/>
    <w:rsid w:val="00A7149C"/>
    <w:rsid w:val="00A71851"/>
    <w:rsid w:val="00A7230A"/>
    <w:rsid w:val="00A7582B"/>
    <w:rsid w:val="00A76F07"/>
    <w:rsid w:val="00A77547"/>
    <w:rsid w:val="00A77B8A"/>
    <w:rsid w:val="00A77E15"/>
    <w:rsid w:val="00A85047"/>
    <w:rsid w:val="00A945F6"/>
    <w:rsid w:val="00AA259E"/>
    <w:rsid w:val="00AA50A0"/>
    <w:rsid w:val="00AB25C0"/>
    <w:rsid w:val="00AB513B"/>
    <w:rsid w:val="00AB6CEB"/>
    <w:rsid w:val="00AC156A"/>
    <w:rsid w:val="00AC568B"/>
    <w:rsid w:val="00AC609C"/>
    <w:rsid w:val="00AC7980"/>
    <w:rsid w:val="00AC7A26"/>
    <w:rsid w:val="00AD01D8"/>
    <w:rsid w:val="00AD79E0"/>
    <w:rsid w:val="00AE220E"/>
    <w:rsid w:val="00AE23C1"/>
    <w:rsid w:val="00AE3412"/>
    <w:rsid w:val="00AE3949"/>
    <w:rsid w:val="00AE564D"/>
    <w:rsid w:val="00AE637C"/>
    <w:rsid w:val="00AE7317"/>
    <w:rsid w:val="00AF0733"/>
    <w:rsid w:val="00AF68DD"/>
    <w:rsid w:val="00AF6F6C"/>
    <w:rsid w:val="00B01B42"/>
    <w:rsid w:val="00B02582"/>
    <w:rsid w:val="00B05EB4"/>
    <w:rsid w:val="00B06909"/>
    <w:rsid w:val="00B06939"/>
    <w:rsid w:val="00B07A54"/>
    <w:rsid w:val="00B07F4D"/>
    <w:rsid w:val="00B11019"/>
    <w:rsid w:val="00B1295E"/>
    <w:rsid w:val="00B12A12"/>
    <w:rsid w:val="00B132EF"/>
    <w:rsid w:val="00B13619"/>
    <w:rsid w:val="00B13B91"/>
    <w:rsid w:val="00B16DB4"/>
    <w:rsid w:val="00B17854"/>
    <w:rsid w:val="00B27748"/>
    <w:rsid w:val="00B313E9"/>
    <w:rsid w:val="00B31458"/>
    <w:rsid w:val="00B32052"/>
    <w:rsid w:val="00B3354F"/>
    <w:rsid w:val="00B33B01"/>
    <w:rsid w:val="00B34093"/>
    <w:rsid w:val="00B354C4"/>
    <w:rsid w:val="00B355B5"/>
    <w:rsid w:val="00B36CE1"/>
    <w:rsid w:val="00B412C1"/>
    <w:rsid w:val="00B41B05"/>
    <w:rsid w:val="00B453B9"/>
    <w:rsid w:val="00B46333"/>
    <w:rsid w:val="00B46589"/>
    <w:rsid w:val="00B47495"/>
    <w:rsid w:val="00B50BFD"/>
    <w:rsid w:val="00B53DBF"/>
    <w:rsid w:val="00B606B5"/>
    <w:rsid w:val="00B606E6"/>
    <w:rsid w:val="00B61036"/>
    <w:rsid w:val="00B6333C"/>
    <w:rsid w:val="00B645F9"/>
    <w:rsid w:val="00B65ACC"/>
    <w:rsid w:val="00B66AC8"/>
    <w:rsid w:val="00B66B61"/>
    <w:rsid w:val="00B730FF"/>
    <w:rsid w:val="00B755EB"/>
    <w:rsid w:val="00B80D05"/>
    <w:rsid w:val="00B80ED6"/>
    <w:rsid w:val="00B8162B"/>
    <w:rsid w:val="00B81CEC"/>
    <w:rsid w:val="00B82995"/>
    <w:rsid w:val="00B86E2C"/>
    <w:rsid w:val="00B878A8"/>
    <w:rsid w:val="00B90A4E"/>
    <w:rsid w:val="00B90E01"/>
    <w:rsid w:val="00B94CB4"/>
    <w:rsid w:val="00B9744F"/>
    <w:rsid w:val="00BA0315"/>
    <w:rsid w:val="00BA09FB"/>
    <w:rsid w:val="00BA1A98"/>
    <w:rsid w:val="00BA427A"/>
    <w:rsid w:val="00BB0416"/>
    <w:rsid w:val="00BB6151"/>
    <w:rsid w:val="00BB61EE"/>
    <w:rsid w:val="00BB6C1C"/>
    <w:rsid w:val="00BC15CD"/>
    <w:rsid w:val="00BC44BB"/>
    <w:rsid w:val="00BC744B"/>
    <w:rsid w:val="00BD0201"/>
    <w:rsid w:val="00BD0500"/>
    <w:rsid w:val="00BD4652"/>
    <w:rsid w:val="00BE05C4"/>
    <w:rsid w:val="00BE4217"/>
    <w:rsid w:val="00BF2794"/>
    <w:rsid w:val="00BF2A84"/>
    <w:rsid w:val="00BF7B6F"/>
    <w:rsid w:val="00C00461"/>
    <w:rsid w:val="00C00DA4"/>
    <w:rsid w:val="00C02164"/>
    <w:rsid w:val="00C0268F"/>
    <w:rsid w:val="00C0517A"/>
    <w:rsid w:val="00C0580D"/>
    <w:rsid w:val="00C10695"/>
    <w:rsid w:val="00C107EB"/>
    <w:rsid w:val="00C11C07"/>
    <w:rsid w:val="00C133F3"/>
    <w:rsid w:val="00C1781F"/>
    <w:rsid w:val="00C2043D"/>
    <w:rsid w:val="00C27AC4"/>
    <w:rsid w:val="00C30A1B"/>
    <w:rsid w:val="00C324DC"/>
    <w:rsid w:val="00C34C79"/>
    <w:rsid w:val="00C35B0C"/>
    <w:rsid w:val="00C36D3F"/>
    <w:rsid w:val="00C41A53"/>
    <w:rsid w:val="00C42E68"/>
    <w:rsid w:val="00C44052"/>
    <w:rsid w:val="00C4626F"/>
    <w:rsid w:val="00C47240"/>
    <w:rsid w:val="00C477E4"/>
    <w:rsid w:val="00C52D78"/>
    <w:rsid w:val="00C5323D"/>
    <w:rsid w:val="00C54900"/>
    <w:rsid w:val="00C54CAA"/>
    <w:rsid w:val="00C5542A"/>
    <w:rsid w:val="00C562F6"/>
    <w:rsid w:val="00C56610"/>
    <w:rsid w:val="00C56E7F"/>
    <w:rsid w:val="00C57EC8"/>
    <w:rsid w:val="00C612E9"/>
    <w:rsid w:val="00C62D99"/>
    <w:rsid w:val="00C62DF7"/>
    <w:rsid w:val="00C632B0"/>
    <w:rsid w:val="00C6370D"/>
    <w:rsid w:val="00C63BAA"/>
    <w:rsid w:val="00C64A0A"/>
    <w:rsid w:val="00C71546"/>
    <w:rsid w:val="00C7154E"/>
    <w:rsid w:val="00C71988"/>
    <w:rsid w:val="00C73B4D"/>
    <w:rsid w:val="00C73D55"/>
    <w:rsid w:val="00C75B61"/>
    <w:rsid w:val="00C765DC"/>
    <w:rsid w:val="00C85917"/>
    <w:rsid w:val="00C877DB"/>
    <w:rsid w:val="00C90384"/>
    <w:rsid w:val="00C9091B"/>
    <w:rsid w:val="00C91373"/>
    <w:rsid w:val="00C9186E"/>
    <w:rsid w:val="00C92510"/>
    <w:rsid w:val="00C92A01"/>
    <w:rsid w:val="00C94D3F"/>
    <w:rsid w:val="00C96D50"/>
    <w:rsid w:val="00CA18FD"/>
    <w:rsid w:val="00CA47ED"/>
    <w:rsid w:val="00CA5E39"/>
    <w:rsid w:val="00CA7F27"/>
    <w:rsid w:val="00CB027A"/>
    <w:rsid w:val="00CB0871"/>
    <w:rsid w:val="00CB0905"/>
    <w:rsid w:val="00CB29BB"/>
    <w:rsid w:val="00CB2ED6"/>
    <w:rsid w:val="00CB31D4"/>
    <w:rsid w:val="00CB37F3"/>
    <w:rsid w:val="00CB62DD"/>
    <w:rsid w:val="00CC03F4"/>
    <w:rsid w:val="00CC0A6D"/>
    <w:rsid w:val="00CC0C5A"/>
    <w:rsid w:val="00CC22BF"/>
    <w:rsid w:val="00CC4B4B"/>
    <w:rsid w:val="00CC5CE9"/>
    <w:rsid w:val="00CD0FA7"/>
    <w:rsid w:val="00CD3DCB"/>
    <w:rsid w:val="00CD4808"/>
    <w:rsid w:val="00CD5475"/>
    <w:rsid w:val="00CE03FC"/>
    <w:rsid w:val="00CE6672"/>
    <w:rsid w:val="00CE6BD8"/>
    <w:rsid w:val="00CE7D01"/>
    <w:rsid w:val="00CF2019"/>
    <w:rsid w:val="00CF4B8E"/>
    <w:rsid w:val="00CF4FE3"/>
    <w:rsid w:val="00CF5E83"/>
    <w:rsid w:val="00CF6A01"/>
    <w:rsid w:val="00CF7F60"/>
    <w:rsid w:val="00D00CBB"/>
    <w:rsid w:val="00D029FF"/>
    <w:rsid w:val="00D054CA"/>
    <w:rsid w:val="00D060A0"/>
    <w:rsid w:val="00D06A95"/>
    <w:rsid w:val="00D06B24"/>
    <w:rsid w:val="00D10292"/>
    <w:rsid w:val="00D1226F"/>
    <w:rsid w:val="00D13491"/>
    <w:rsid w:val="00D14FA5"/>
    <w:rsid w:val="00D15CD4"/>
    <w:rsid w:val="00D16B07"/>
    <w:rsid w:val="00D1770F"/>
    <w:rsid w:val="00D17F4A"/>
    <w:rsid w:val="00D20E01"/>
    <w:rsid w:val="00D238DE"/>
    <w:rsid w:val="00D23C64"/>
    <w:rsid w:val="00D27306"/>
    <w:rsid w:val="00D31CDD"/>
    <w:rsid w:val="00D33AA2"/>
    <w:rsid w:val="00D35F44"/>
    <w:rsid w:val="00D41655"/>
    <w:rsid w:val="00D4323E"/>
    <w:rsid w:val="00D4638B"/>
    <w:rsid w:val="00D53D4C"/>
    <w:rsid w:val="00D56353"/>
    <w:rsid w:val="00D639E1"/>
    <w:rsid w:val="00D65A07"/>
    <w:rsid w:val="00D65FDC"/>
    <w:rsid w:val="00D66898"/>
    <w:rsid w:val="00D67326"/>
    <w:rsid w:val="00D768B1"/>
    <w:rsid w:val="00D772F6"/>
    <w:rsid w:val="00D80091"/>
    <w:rsid w:val="00D8033E"/>
    <w:rsid w:val="00D80BBE"/>
    <w:rsid w:val="00D81F2E"/>
    <w:rsid w:val="00D840E7"/>
    <w:rsid w:val="00D844EC"/>
    <w:rsid w:val="00D8502F"/>
    <w:rsid w:val="00D8548F"/>
    <w:rsid w:val="00D86571"/>
    <w:rsid w:val="00D87211"/>
    <w:rsid w:val="00D91AD4"/>
    <w:rsid w:val="00D92B4A"/>
    <w:rsid w:val="00D93DAE"/>
    <w:rsid w:val="00D958F2"/>
    <w:rsid w:val="00D962BF"/>
    <w:rsid w:val="00D96404"/>
    <w:rsid w:val="00D96B40"/>
    <w:rsid w:val="00DA0F66"/>
    <w:rsid w:val="00DA1018"/>
    <w:rsid w:val="00DA1E7A"/>
    <w:rsid w:val="00DA3C78"/>
    <w:rsid w:val="00DA45DB"/>
    <w:rsid w:val="00DA52F8"/>
    <w:rsid w:val="00DB07E8"/>
    <w:rsid w:val="00DB19E0"/>
    <w:rsid w:val="00DB6D10"/>
    <w:rsid w:val="00DB7308"/>
    <w:rsid w:val="00DC06DD"/>
    <w:rsid w:val="00DC19CB"/>
    <w:rsid w:val="00DC3860"/>
    <w:rsid w:val="00DC3CDC"/>
    <w:rsid w:val="00DC6448"/>
    <w:rsid w:val="00DC6701"/>
    <w:rsid w:val="00DC7786"/>
    <w:rsid w:val="00DD0D34"/>
    <w:rsid w:val="00DD1578"/>
    <w:rsid w:val="00DD24F7"/>
    <w:rsid w:val="00DD7F4E"/>
    <w:rsid w:val="00DE1A0A"/>
    <w:rsid w:val="00DE1C87"/>
    <w:rsid w:val="00DE2143"/>
    <w:rsid w:val="00DE2428"/>
    <w:rsid w:val="00DF01B0"/>
    <w:rsid w:val="00DF3A53"/>
    <w:rsid w:val="00DF671F"/>
    <w:rsid w:val="00DF6CDB"/>
    <w:rsid w:val="00E02A63"/>
    <w:rsid w:val="00E02EE9"/>
    <w:rsid w:val="00E1046D"/>
    <w:rsid w:val="00E1210D"/>
    <w:rsid w:val="00E1463E"/>
    <w:rsid w:val="00E251B2"/>
    <w:rsid w:val="00E2696D"/>
    <w:rsid w:val="00E26F79"/>
    <w:rsid w:val="00E272BB"/>
    <w:rsid w:val="00E274D4"/>
    <w:rsid w:val="00E309F7"/>
    <w:rsid w:val="00E3131F"/>
    <w:rsid w:val="00E352B7"/>
    <w:rsid w:val="00E3661E"/>
    <w:rsid w:val="00E40727"/>
    <w:rsid w:val="00E42069"/>
    <w:rsid w:val="00E42598"/>
    <w:rsid w:val="00E43284"/>
    <w:rsid w:val="00E43C79"/>
    <w:rsid w:val="00E44669"/>
    <w:rsid w:val="00E45673"/>
    <w:rsid w:val="00E4656D"/>
    <w:rsid w:val="00E467F7"/>
    <w:rsid w:val="00E5021B"/>
    <w:rsid w:val="00E508EB"/>
    <w:rsid w:val="00E55BE5"/>
    <w:rsid w:val="00E575C3"/>
    <w:rsid w:val="00E579C0"/>
    <w:rsid w:val="00E57F30"/>
    <w:rsid w:val="00E626DA"/>
    <w:rsid w:val="00E643C7"/>
    <w:rsid w:val="00E655FF"/>
    <w:rsid w:val="00E65E50"/>
    <w:rsid w:val="00E65F26"/>
    <w:rsid w:val="00E66D4B"/>
    <w:rsid w:val="00E71D09"/>
    <w:rsid w:val="00E738FF"/>
    <w:rsid w:val="00E740B5"/>
    <w:rsid w:val="00E7712E"/>
    <w:rsid w:val="00E77F98"/>
    <w:rsid w:val="00E84213"/>
    <w:rsid w:val="00E85C70"/>
    <w:rsid w:val="00E85DC2"/>
    <w:rsid w:val="00E87129"/>
    <w:rsid w:val="00E90325"/>
    <w:rsid w:val="00E932C7"/>
    <w:rsid w:val="00E97C4E"/>
    <w:rsid w:val="00EA227E"/>
    <w:rsid w:val="00EA27FB"/>
    <w:rsid w:val="00EA3BA6"/>
    <w:rsid w:val="00EA5106"/>
    <w:rsid w:val="00EA6EC4"/>
    <w:rsid w:val="00EA7BE5"/>
    <w:rsid w:val="00EB01CB"/>
    <w:rsid w:val="00EB3504"/>
    <w:rsid w:val="00EB3C4A"/>
    <w:rsid w:val="00EB4097"/>
    <w:rsid w:val="00EB64A6"/>
    <w:rsid w:val="00EC1C4D"/>
    <w:rsid w:val="00EC5418"/>
    <w:rsid w:val="00EC552E"/>
    <w:rsid w:val="00EC6E69"/>
    <w:rsid w:val="00ED02A6"/>
    <w:rsid w:val="00ED4B29"/>
    <w:rsid w:val="00ED5B8D"/>
    <w:rsid w:val="00ED5F25"/>
    <w:rsid w:val="00ED77A0"/>
    <w:rsid w:val="00EE01B9"/>
    <w:rsid w:val="00EE11A7"/>
    <w:rsid w:val="00EE177D"/>
    <w:rsid w:val="00EE2544"/>
    <w:rsid w:val="00EE41C3"/>
    <w:rsid w:val="00EE42B2"/>
    <w:rsid w:val="00EE55D9"/>
    <w:rsid w:val="00EE612D"/>
    <w:rsid w:val="00EF0646"/>
    <w:rsid w:val="00EF194D"/>
    <w:rsid w:val="00EF4938"/>
    <w:rsid w:val="00EF4C27"/>
    <w:rsid w:val="00EF6249"/>
    <w:rsid w:val="00EF64CF"/>
    <w:rsid w:val="00EF73CE"/>
    <w:rsid w:val="00EF7C5E"/>
    <w:rsid w:val="00F019F0"/>
    <w:rsid w:val="00F03000"/>
    <w:rsid w:val="00F03843"/>
    <w:rsid w:val="00F05CB6"/>
    <w:rsid w:val="00F07127"/>
    <w:rsid w:val="00F127E8"/>
    <w:rsid w:val="00F13C64"/>
    <w:rsid w:val="00F144B6"/>
    <w:rsid w:val="00F14F10"/>
    <w:rsid w:val="00F22362"/>
    <w:rsid w:val="00F22BC7"/>
    <w:rsid w:val="00F232D6"/>
    <w:rsid w:val="00F26105"/>
    <w:rsid w:val="00F2754A"/>
    <w:rsid w:val="00F2778F"/>
    <w:rsid w:val="00F27C9E"/>
    <w:rsid w:val="00F32487"/>
    <w:rsid w:val="00F32C12"/>
    <w:rsid w:val="00F33D5C"/>
    <w:rsid w:val="00F3503F"/>
    <w:rsid w:val="00F35242"/>
    <w:rsid w:val="00F376AD"/>
    <w:rsid w:val="00F40450"/>
    <w:rsid w:val="00F429FC"/>
    <w:rsid w:val="00F43D53"/>
    <w:rsid w:val="00F46D6E"/>
    <w:rsid w:val="00F4719F"/>
    <w:rsid w:val="00F472CB"/>
    <w:rsid w:val="00F53881"/>
    <w:rsid w:val="00F53F10"/>
    <w:rsid w:val="00F57E7E"/>
    <w:rsid w:val="00F600EB"/>
    <w:rsid w:val="00F616C7"/>
    <w:rsid w:val="00F62DFD"/>
    <w:rsid w:val="00F639B4"/>
    <w:rsid w:val="00F64CEB"/>
    <w:rsid w:val="00F6765A"/>
    <w:rsid w:val="00F67BED"/>
    <w:rsid w:val="00F70C8E"/>
    <w:rsid w:val="00F734ED"/>
    <w:rsid w:val="00F74EB9"/>
    <w:rsid w:val="00F81016"/>
    <w:rsid w:val="00F82331"/>
    <w:rsid w:val="00F82FCC"/>
    <w:rsid w:val="00F834F6"/>
    <w:rsid w:val="00F83FE8"/>
    <w:rsid w:val="00F8540A"/>
    <w:rsid w:val="00F87FD4"/>
    <w:rsid w:val="00F97DAD"/>
    <w:rsid w:val="00FA60C9"/>
    <w:rsid w:val="00FB1090"/>
    <w:rsid w:val="00FB1494"/>
    <w:rsid w:val="00FB4D1A"/>
    <w:rsid w:val="00FB62D8"/>
    <w:rsid w:val="00FC2033"/>
    <w:rsid w:val="00FC5624"/>
    <w:rsid w:val="00FC6E76"/>
    <w:rsid w:val="00FC76EC"/>
    <w:rsid w:val="00FD26F5"/>
    <w:rsid w:val="00FD2752"/>
    <w:rsid w:val="00FD2805"/>
    <w:rsid w:val="00FD3B33"/>
    <w:rsid w:val="00FD4AAD"/>
    <w:rsid w:val="00FD4F95"/>
    <w:rsid w:val="00FD5407"/>
    <w:rsid w:val="00FE0CB5"/>
    <w:rsid w:val="00FE4B89"/>
    <w:rsid w:val="00FE5659"/>
    <w:rsid w:val="00FE615D"/>
    <w:rsid w:val="00FF0711"/>
    <w:rsid w:val="00FF1B62"/>
    <w:rsid w:val="00FF1FD5"/>
    <w:rsid w:val="00FF2275"/>
    <w:rsid w:val="00FF27D8"/>
    <w:rsid w:val="00FF39C5"/>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attachedSchema w:val="http://msdn.microsoft.com/mshelp"/>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3C022C"/>
    <w:rPr>
      <w:rFonts w:ascii="Arial" w:eastAsia="Times New Roman" w:hAnsi="Arial"/>
    </w:rPr>
  </w:style>
  <w:style w:type="paragraph" w:styleId="Heading1">
    <w:name w:val="heading 1"/>
    <w:aliases w:val="h1,Level 1 Topic Heading"/>
    <w:next w:val="Text"/>
    <w:qFormat/>
    <w:rsid w:val="003C022C"/>
    <w:pPr>
      <w:keepNext/>
      <w:spacing w:before="180" w:after="60" w:line="400" w:lineRule="exact"/>
      <w:ind w:left="-360"/>
      <w:outlineLvl w:val="0"/>
    </w:pPr>
    <w:rPr>
      <w:rFonts w:ascii="Verdana" w:eastAsia="Times New Roman" w:hAnsi="Verdana"/>
      <w:b/>
      <w:color w:val="000000"/>
      <w:kern w:val="24"/>
      <w:sz w:val="36"/>
    </w:rPr>
  </w:style>
  <w:style w:type="paragraph" w:styleId="Heading2">
    <w:name w:val="heading 2"/>
    <w:aliases w:val="h2,Level 2 Topic Heading"/>
    <w:basedOn w:val="Heading1"/>
    <w:next w:val="Text"/>
    <w:qFormat/>
    <w:rsid w:val="003C022C"/>
    <w:pPr>
      <w:outlineLvl w:val="1"/>
    </w:pPr>
    <w:rPr>
      <w:color w:val="808080"/>
    </w:rPr>
  </w:style>
  <w:style w:type="paragraph" w:styleId="Heading3">
    <w:name w:val="heading 3"/>
    <w:aliases w:val="h3,Level 3 Topic Heading"/>
    <w:basedOn w:val="Heading1"/>
    <w:next w:val="Text"/>
    <w:qFormat/>
    <w:rsid w:val="003C022C"/>
    <w:pPr>
      <w:outlineLvl w:val="2"/>
    </w:pPr>
    <w:rPr>
      <w:color w:val="C0C0C0"/>
    </w:rPr>
  </w:style>
  <w:style w:type="paragraph" w:styleId="Heading4">
    <w:name w:val="heading 4"/>
    <w:aliases w:val="h4,Level 4 Topic Heading"/>
    <w:basedOn w:val="Heading1"/>
    <w:next w:val="Text"/>
    <w:qFormat/>
    <w:rsid w:val="003C022C"/>
    <w:pPr>
      <w:outlineLvl w:val="3"/>
    </w:pPr>
    <w:rPr>
      <w:b w:val="0"/>
    </w:rPr>
  </w:style>
  <w:style w:type="paragraph" w:styleId="Heading5">
    <w:name w:val="heading 5"/>
    <w:aliases w:val="h5,Level 5 Topic Heading"/>
    <w:basedOn w:val="Heading1"/>
    <w:next w:val="Text"/>
    <w:qFormat/>
    <w:rsid w:val="003C022C"/>
    <w:pPr>
      <w:outlineLvl w:val="4"/>
    </w:pPr>
    <w:rPr>
      <w:b w:val="0"/>
      <w:color w:val="808080"/>
    </w:rPr>
  </w:style>
  <w:style w:type="paragraph" w:styleId="Heading6">
    <w:name w:val="heading 6"/>
    <w:aliases w:val="h6,Level 6 Topic Heading"/>
    <w:basedOn w:val="Heading1"/>
    <w:next w:val="Text"/>
    <w:qFormat/>
    <w:rsid w:val="003C022C"/>
    <w:pPr>
      <w:outlineLvl w:val="5"/>
    </w:pPr>
    <w:rPr>
      <w:b w:val="0"/>
      <w:color w:val="C0C0C0"/>
    </w:rPr>
  </w:style>
  <w:style w:type="paragraph" w:styleId="Heading7">
    <w:name w:val="heading 7"/>
    <w:aliases w:val="h7,Level 7 Topic Heading"/>
    <w:basedOn w:val="Heading1"/>
    <w:next w:val="Text"/>
    <w:qFormat/>
    <w:rsid w:val="003C022C"/>
    <w:pPr>
      <w:spacing w:line="360" w:lineRule="exact"/>
      <w:outlineLvl w:val="6"/>
    </w:pPr>
    <w:rPr>
      <w:sz w:val="32"/>
      <w:szCs w:val="24"/>
    </w:rPr>
  </w:style>
  <w:style w:type="paragraph" w:styleId="Heading8">
    <w:name w:val="heading 8"/>
    <w:aliases w:val="h8,First Subheading,Second Subheading"/>
    <w:basedOn w:val="Heading1"/>
    <w:next w:val="Text"/>
    <w:qFormat/>
    <w:rsid w:val="003C022C"/>
    <w:pPr>
      <w:spacing w:line="300" w:lineRule="exact"/>
      <w:outlineLvl w:val="7"/>
    </w:pPr>
    <w:rPr>
      <w:iCs/>
      <w:sz w:val="26"/>
      <w:szCs w:val="24"/>
    </w:rPr>
  </w:style>
  <w:style w:type="paragraph" w:styleId="Heading9">
    <w:name w:val="heading 9"/>
    <w:aliases w:val="h9,Third Subheading"/>
    <w:basedOn w:val="Heading1"/>
    <w:next w:val="Text"/>
    <w:qFormat/>
    <w:rsid w:val="003C022C"/>
    <w:pPr>
      <w:spacing w:line="260" w:lineRule="exact"/>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xtChar"/>
    <w:rsid w:val="003C022C"/>
    <w:pPr>
      <w:spacing w:before="60" w:after="60" w:line="260" w:lineRule="exact"/>
    </w:pPr>
    <w:rPr>
      <w:rFonts w:ascii="Verdana" w:eastAsia="Times New Roman" w:hAnsi="Verdana"/>
      <w:color w:val="000000"/>
    </w:rPr>
  </w:style>
  <w:style w:type="paragraph" w:styleId="BodyText">
    <w:name w:val="Body Text"/>
    <w:basedOn w:val="Normal"/>
    <w:rsid w:val="003C022C"/>
    <w:rPr>
      <w:rFonts w:ascii="Times New Roman" w:hAnsi="Times New Roman"/>
      <w:b/>
      <w:sz w:val="24"/>
    </w:rPr>
  </w:style>
  <w:style w:type="character" w:styleId="CommentReference">
    <w:name w:val="annotation reference"/>
    <w:aliases w:val="cr,Used by Word to flag author queries"/>
    <w:basedOn w:val="DefaultParagraphFont"/>
    <w:semiHidden/>
    <w:rsid w:val="003C022C"/>
    <w:rPr>
      <w:szCs w:val="16"/>
    </w:rPr>
  </w:style>
  <w:style w:type="paragraph" w:styleId="CommentText">
    <w:name w:val="annotation text"/>
    <w:aliases w:val="ct,Used by Word for text of author queries"/>
    <w:basedOn w:val="Text"/>
    <w:semiHidden/>
    <w:rsid w:val="003C022C"/>
  </w:style>
  <w:style w:type="paragraph" w:customStyle="1" w:styleId="Figure">
    <w:name w:val="Figure"/>
    <w:aliases w:val="fig"/>
    <w:basedOn w:val="Text"/>
    <w:next w:val="Text"/>
    <w:rsid w:val="003C022C"/>
    <w:pPr>
      <w:spacing w:before="120" w:after="120" w:line="240" w:lineRule="auto"/>
    </w:pPr>
  </w:style>
  <w:style w:type="paragraph" w:customStyle="1" w:styleId="Code">
    <w:name w:val="Code"/>
    <w:aliases w:val="c"/>
    <w:rsid w:val="003C022C"/>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rsid w:val="003C022C"/>
    <w:rPr>
      <w:b/>
    </w:rPr>
  </w:style>
  <w:style w:type="paragraph" w:customStyle="1" w:styleId="TextinList2">
    <w:name w:val="Text in List 2"/>
    <w:aliases w:val="t2"/>
    <w:basedOn w:val="Text"/>
    <w:rsid w:val="003C022C"/>
    <w:pPr>
      <w:ind w:left="720"/>
    </w:pPr>
  </w:style>
  <w:style w:type="paragraph" w:customStyle="1" w:styleId="Label">
    <w:name w:val="Label"/>
    <w:aliases w:val="l"/>
    <w:basedOn w:val="Text"/>
    <w:next w:val="Text"/>
    <w:rsid w:val="003C022C"/>
    <w:rPr>
      <w:b/>
    </w:rPr>
  </w:style>
  <w:style w:type="paragraph" w:styleId="FootnoteText">
    <w:name w:val="footnote text"/>
    <w:aliases w:val="ft,Used by Word for text of Help footnotes"/>
    <w:basedOn w:val="Text"/>
    <w:semiHidden/>
    <w:rsid w:val="003C022C"/>
    <w:rPr>
      <w:color w:val="0000FF"/>
    </w:rPr>
  </w:style>
  <w:style w:type="paragraph" w:customStyle="1" w:styleId="NumberedList2">
    <w:name w:val="Numbered List 2"/>
    <w:aliases w:val="nl2"/>
    <w:rsid w:val="003C022C"/>
    <w:pPr>
      <w:numPr>
        <w:numId w:val="10"/>
      </w:numPr>
      <w:spacing w:before="60" w:after="60" w:line="260" w:lineRule="exact"/>
    </w:pPr>
    <w:rPr>
      <w:rFonts w:ascii="Verdana" w:eastAsia="Times New Roman" w:hAnsi="Verdana"/>
      <w:color w:val="000000"/>
    </w:rPr>
  </w:style>
  <w:style w:type="paragraph" w:customStyle="1" w:styleId="Syntax">
    <w:name w:val="Syntax"/>
    <w:aliases w:val="s"/>
    <w:basedOn w:val="Code"/>
    <w:rsid w:val="003C022C"/>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3C022C"/>
    <w:pPr>
      <w:spacing w:before="40" w:after="80" w:line="220" w:lineRule="exact"/>
    </w:pPr>
    <w:rPr>
      <w:sz w:val="16"/>
    </w:rPr>
  </w:style>
  <w:style w:type="character" w:styleId="FootnoteReference">
    <w:name w:val="footnote reference"/>
    <w:aliases w:val="fr,Used by Word for Help footnote symbols"/>
    <w:basedOn w:val="DefaultParagraphFont"/>
    <w:semiHidden/>
    <w:rsid w:val="003C022C"/>
    <w:rPr>
      <w:color w:val="0000FF"/>
      <w:vertAlign w:val="superscript"/>
    </w:rPr>
  </w:style>
  <w:style w:type="character" w:customStyle="1" w:styleId="CodeEmbedded">
    <w:name w:val="Code Embedded"/>
    <w:aliases w:val="ce"/>
    <w:basedOn w:val="DefaultParagraphFont"/>
    <w:rsid w:val="003C022C"/>
    <w:rPr>
      <w:rFonts w:ascii="Courier New" w:hAnsi="Courier New"/>
      <w:noProof/>
      <w:color w:val="000080"/>
      <w:position w:val="1"/>
      <w:sz w:val="20"/>
    </w:rPr>
  </w:style>
  <w:style w:type="character" w:customStyle="1" w:styleId="LabelEmbedded">
    <w:name w:val="Label Embedded"/>
    <w:aliases w:val="le"/>
    <w:basedOn w:val="DefaultParagraphFont"/>
    <w:rsid w:val="003C022C"/>
    <w:rPr>
      <w:rFonts w:ascii="Verdana" w:hAnsi="Verdana"/>
      <w:b/>
      <w:sz w:val="20"/>
    </w:rPr>
  </w:style>
  <w:style w:type="character" w:customStyle="1" w:styleId="LinkText">
    <w:name w:val="Link Text"/>
    <w:aliases w:val="lt"/>
    <w:basedOn w:val="DefaultParagraphFont"/>
    <w:rsid w:val="003C022C"/>
    <w:rPr>
      <w:color w:val="0000FF"/>
      <w:u w:val="double"/>
    </w:rPr>
  </w:style>
  <w:style w:type="character" w:customStyle="1" w:styleId="LinkTextPopup">
    <w:name w:val="Link Text Popup"/>
    <w:aliases w:val="ltp"/>
    <w:basedOn w:val="DefaultParagraphFont"/>
    <w:rsid w:val="003C022C"/>
    <w:rPr>
      <w:color w:val="0000FF"/>
      <w:u w:val="single"/>
    </w:rPr>
  </w:style>
  <w:style w:type="character" w:customStyle="1" w:styleId="LinkID">
    <w:name w:val="Link ID"/>
    <w:aliases w:val="lid"/>
    <w:basedOn w:val="DefaultParagraphFont"/>
    <w:rsid w:val="003C022C"/>
    <w:rPr>
      <w:noProof/>
      <w:vanish/>
      <w:color w:val="FF0000"/>
    </w:rPr>
  </w:style>
  <w:style w:type="paragraph" w:customStyle="1" w:styleId="CodeinList2">
    <w:name w:val="Code in List 2"/>
    <w:aliases w:val="c2"/>
    <w:basedOn w:val="Code"/>
    <w:rsid w:val="003C022C"/>
    <w:pPr>
      <w:ind w:left="720"/>
    </w:pPr>
  </w:style>
  <w:style w:type="character" w:customStyle="1" w:styleId="ConditionalMarker">
    <w:name w:val="Conditional Marker"/>
    <w:aliases w:val="cm"/>
    <w:basedOn w:val="DefaultParagraphFont"/>
    <w:rsid w:val="003C022C"/>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3C022C"/>
    <w:pPr>
      <w:ind w:left="720"/>
    </w:pPr>
  </w:style>
  <w:style w:type="paragraph" w:customStyle="1" w:styleId="TableFootnoteinList2">
    <w:name w:val="Table Footnote in List 2"/>
    <w:aliases w:val="tf2"/>
    <w:basedOn w:val="TextinList2"/>
    <w:next w:val="TextinList2"/>
    <w:rsid w:val="003C022C"/>
    <w:pPr>
      <w:spacing w:before="40" w:after="80" w:line="220" w:lineRule="exact"/>
    </w:pPr>
    <w:rPr>
      <w:sz w:val="16"/>
    </w:rPr>
  </w:style>
  <w:style w:type="paragraph" w:customStyle="1" w:styleId="LabelinList1">
    <w:name w:val="Label in List 1"/>
    <w:aliases w:val="l1"/>
    <w:basedOn w:val="TextinList1"/>
    <w:next w:val="TextinList1"/>
    <w:rsid w:val="003C022C"/>
    <w:rPr>
      <w:b/>
    </w:rPr>
  </w:style>
  <w:style w:type="paragraph" w:customStyle="1" w:styleId="TextinList1">
    <w:name w:val="Text in List 1"/>
    <w:aliases w:val="t1"/>
    <w:basedOn w:val="Text"/>
    <w:link w:val="TextinList1Char"/>
    <w:rsid w:val="003C022C"/>
    <w:pPr>
      <w:ind w:left="360"/>
    </w:pPr>
  </w:style>
  <w:style w:type="paragraph" w:customStyle="1" w:styleId="CodeinList1">
    <w:name w:val="Code in List 1"/>
    <w:aliases w:val="c1"/>
    <w:basedOn w:val="Code"/>
    <w:rsid w:val="003C022C"/>
    <w:pPr>
      <w:ind w:left="360"/>
    </w:pPr>
  </w:style>
  <w:style w:type="paragraph" w:customStyle="1" w:styleId="FigureinList1">
    <w:name w:val="Figure in List 1"/>
    <w:aliases w:val="fig1"/>
    <w:basedOn w:val="Figure"/>
    <w:next w:val="TextinList1"/>
    <w:rsid w:val="003C022C"/>
    <w:pPr>
      <w:ind w:left="360"/>
    </w:pPr>
  </w:style>
  <w:style w:type="paragraph" w:customStyle="1" w:styleId="TableFootnoteinList1">
    <w:name w:val="Table Footnote in List 1"/>
    <w:aliases w:val="tf1"/>
    <w:basedOn w:val="TextinList1"/>
    <w:next w:val="TextinList1"/>
    <w:rsid w:val="003C022C"/>
    <w:pPr>
      <w:spacing w:before="40" w:after="80" w:line="220" w:lineRule="exact"/>
    </w:pPr>
    <w:rPr>
      <w:sz w:val="16"/>
    </w:rPr>
  </w:style>
  <w:style w:type="character" w:customStyle="1" w:styleId="HTML">
    <w:name w:val="HTML"/>
    <w:basedOn w:val="DefaultParagraphFont"/>
    <w:rsid w:val="003C022C"/>
    <w:rPr>
      <w:rFonts w:ascii="Courier New" w:hAnsi="Courier New"/>
      <w:color w:val="000000"/>
      <w:sz w:val="20"/>
      <w:bdr w:val="none" w:sz="0" w:space="0" w:color="auto"/>
      <w:shd w:val="pct25" w:color="00FF00" w:fill="auto"/>
    </w:rPr>
  </w:style>
  <w:style w:type="paragraph" w:styleId="Footer">
    <w:name w:val="footer"/>
    <w:aliases w:val="f"/>
    <w:basedOn w:val="Header"/>
    <w:rsid w:val="003C022C"/>
    <w:pPr>
      <w:pBdr>
        <w:bottom w:val="none" w:sz="0" w:space="0" w:color="auto"/>
      </w:pBdr>
    </w:pPr>
  </w:style>
  <w:style w:type="paragraph" w:styleId="Header">
    <w:name w:val="header"/>
    <w:aliases w:val="h"/>
    <w:link w:val="HeaderChar"/>
    <w:rsid w:val="003C022C"/>
    <w:pPr>
      <w:pBdr>
        <w:bottom w:val="single" w:sz="4" w:space="1" w:color="808000"/>
      </w:pBdr>
      <w:tabs>
        <w:tab w:val="right" w:pos="8920"/>
      </w:tabs>
      <w:spacing w:line="220" w:lineRule="exact"/>
      <w:ind w:left="-340" w:right="20"/>
    </w:pPr>
    <w:rPr>
      <w:rFonts w:ascii="Verdana" w:eastAsia="Times New Roman" w:hAnsi="Verdana"/>
      <w:color w:val="808000"/>
      <w:sz w:val="16"/>
    </w:rPr>
  </w:style>
  <w:style w:type="paragraph" w:customStyle="1" w:styleId="AlertText">
    <w:name w:val="Alert Text"/>
    <w:aliases w:val="at"/>
    <w:basedOn w:val="Text"/>
    <w:rsid w:val="003C022C"/>
    <w:pPr>
      <w:ind w:left="360"/>
    </w:pPr>
  </w:style>
  <w:style w:type="paragraph" w:customStyle="1" w:styleId="AlertTextinList1">
    <w:name w:val="Alert Text in List 1"/>
    <w:aliases w:val="at1"/>
    <w:basedOn w:val="TextinList1"/>
    <w:rsid w:val="003C022C"/>
    <w:pPr>
      <w:ind w:left="720"/>
    </w:pPr>
  </w:style>
  <w:style w:type="paragraph" w:customStyle="1" w:styleId="AlertTextinList2">
    <w:name w:val="Alert Text in List 2"/>
    <w:aliases w:val="at2"/>
    <w:basedOn w:val="TextinList2"/>
    <w:rsid w:val="003C022C"/>
    <w:pPr>
      <w:ind w:left="1080"/>
    </w:pPr>
  </w:style>
  <w:style w:type="paragraph" w:customStyle="1" w:styleId="RevisionHistory">
    <w:name w:val="Revision History"/>
    <w:aliases w:val="rh"/>
    <w:basedOn w:val="Text"/>
    <w:rsid w:val="003C022C"/>
    <w:pPr>
      <w:ind w:right="1440"/>
    </w:pPr>
    <w:rPr>
      <w:vanish/>
      <w:color w:val="800080"/>
    </w:rPr>
  </w:style>
  <w:style w:type="paragraph" w:customStyle="1" w:styleId="BulletedList1">
    <w:name w:val="Bulleted List 1"/>
    <w:aliases w:val="bl1"/>
    <w:link w:val="BulletedList1Char"/>
    <w:rsid w:val="003C022C"/>
    <w:pPr>
      <w:numPr>
        <w:numId w:val="2"/>
      </w:numPr>
      <w:spacing w:before="60" w:after="60" w:line="260" w:lineRule="exact"/>
    </w:pPr>
    <w:rPr>
      <w:rFonts w:ascii="Verdana" w:eastAsia="Times New Roman" w:hAnsi="Verdana"/>
      <w:color w:val="000000"/>
    </w:rPr>
  </w:style>
  <w:style w:type="paragraph" w:customStyle="1" w:styleId="TextIndented">
    <w:name w:val="Text Indented"/>
    <w:aliases w:val="ti"/>
    <w:basedOn w:val="Text"/>
    <w:rsid w:val="003C022C"/>
    <w:pPr>
      <w:ind w:left="360" w:right="360"/>
    </w:pPr>
  </w:style>
  <w:style w:type="paragraph" w:customStyle="1" w:styleId="BulletedList2">
    <w:name w:val="Bulleted List 2"/>
    <w:aliases w:val="bl2"/>
    <w:rsid w:val="003C022C"/>
    <w:pPr>
      <w:numPr>
        <w:numId w:val="3"/>
      </w:numPr>
      <w:spacing w:before="60" w:after="60" w:line="260" w:lineRule="exact"/>
    </w:pPr>
    <w:rPr>
      <w:rFonts w:ascii="Verdana" w:eastAsia="Times New Roman" w:hAnsi="Verdana"/>
      <w:color w:val="000000"/>
    </w:rPr>
  </w:style>
  <w:style w:type="paragraph" w:customStyle="1" w:styleId="DefinedTerm">
    <w:name w:val="Defined Term"/>
    <w:aliases w:val="dt"/>
    <w:basedOn w:val="Text"/>
    <w:next w:val="Definition"/>
    <w:rsid w:val="003C022C"/>
    <w:pPr>
      <w:spacing w:after="0"/>
    </w:pPr>
  </w:style>
  <w:style w:type="paragraph" w:customStyle="1" w:styleId="Definition">
    <w:name w:val="Definition"/>
    <w:aliases w:val="d"/>
    <w:basedOn w:val="Text"/>
    <w:next w:val="DefinedTerm"/>
    <w:rsid w:val="003C022C"/>
    <w:pPr>
      <w:spacing w:before="0"/>
      <w:ind w:left="360"/>
    </w:pPr>
  </w:style>
  <w:style w:type="paragraph" w:customStyle="1" w:styleId="NumberedList1">
    <w:name w:val="Numbered List 1"/>
    <w:aliases w:val="nl1"/>
    <w:rsid w:val="003C022C"/>
    <w:pPr>
      <w:numPr>
        <w:numId w:val="5"/>
      </w:numPr>
      <w:spacing w:before="60" w:after="60" w:line="260" w:lineRule="exact"/>
    </w:pPr>
    <w:rPr>
      <w:rFonts w:ascii="Verdana" w:eastAsia="Times New Roman" w:hAnsi="Verdana"/>
      <w:color w:val="000000"/>
    </w:rPr>
  </w:style>
  <w:style w:type="paragraph" w:customStyle="1" w:styleId="GlueLinkText">
    <w:name w:val="Glue Link Text"/>
    <w:aliases w:val="glt"/>
    <w:basedOn w:val="Text"/>
    <w:next w:val="Text"/>
    <w:rsid w:val="003C022C"/>
  </w:style>
  <w:style w:type="paragraph" w:customStyle="1" w:styleId="IndexTag">
    <w:name w:val="Index Tag"/>
    <w:aliases w:val="it"/>
    <w:basedOn w:val="Text"/>
    <w:rsid w:val="003C022C"/>
    <w:pPr>
      <w:spacing w:after="0"/>
      <w:ind w:right="1440"/>
    </w:pPr>
    <w:rPr>
      <w:b/>
      <w:vanish/>
      <w:color w:val="008000"/>
    </w:rPr>
  </w:style>
  <w:style w:type="character" w:customStyle="1" w:styleId="CodeFeaturedElement">
    <w:name w:val="Code Featured Element"/>
    <w:aliases w:val="cfe"/>
    <w:basedOn w:val="DefaultParagraphFont"/>
    <w:rsid w:val="003C022C"/>
    <w:rPr>
      <w:rFonts w:ascii="Courier New" w:hAnsi="Courier New"/>
      <w:b/>
      <w:noProof/>
      <w:color w:val="000080"/>
      <w:sz w:val="20"/>
    </w:rPr>
  </w:style>
  <w:style w:type="paragraph" w:customStyle="1" w:styleId="Copyright">
    <w:name w:val="Copyright"/>
    <w:aliases w:val="copy"/>
    <w:basedOn w:val="Text"/>
    <w:rsid w:val="003C022C"/>
    <w:pPr>
      <w:spacing w:line="220" w:lineRule="exact"/>
      <w:ind w:right="-960"/>
    </w:pPr>
    <w:rPr>
      <w:sz w:val="16"/>
    </w:rPr>
  </w:style>
  <w:style w:type="paragraph" w:styleId="Index1">
    <w:name w:val="index 1"/>
    <w:aliases w:val="idx1"/>
    <w:basedOn w:val="Text"/>
    <w:semiHidden/>
    <w:rsid w:val="003C022C"/>
    <w:pPr>
      <w:spacing w:line="220" w:lineRule="exact"/>
      <w:ind w:left="180" w:hanging="180"/>
    </w:pPr>
    <w:rPr>
      <w:color w:val="808000"/>
      <w:sz w:val="16"/>
    </w:rPr>
  </w:style>
  <w:style w:type="paragraph" w:styleId="IndexHeading">
    <w:name w:val="index heading"/>
    <w:aliases w:val="ih"/>
    <w:basedOn w:val="Heading1"/>
    <w:next w:val="Index1"/>
    <w:semiHidden/>
    <w:rsid w:val="003C022C"/>
    <w:pPr>
      <w:spacing w:line="300" w:lineRule="exact"/>
      <w:ind w:left="0"/>
      <w:outlineLvl w:val="7"/>
    </w:pPr>
    <w:rPr>
      <w:color w:val="808000"/>
      <w:sz w:val="26"/>
    </w:rPr>
  </w:style>
  <w:style w:type="paragraph" w:customStyle="1" w:styleId="PrintDivisionTitle">
    <w:name w:val="Print Division Title"/>
    <w:aliases w:val="pdt"/>
    <w:basedOn w:val="Heading1"/>
    <w:rsid w:val="003C022C"/>
    <w:pPr>
      <w:spacing w:after="180" w:line="440" w:lineRule="exact"/>
      <w:ind w:left="0"/>
      <w:jc w:val="right"/>
    </w:pPr>
    <w:rPr>
      <w:color w:val="808000"/>
      <w:sz w:val="40"/>
    </w:rPr>
  </w:style>
  <w:style w:type="character" w:styleId="PageNumber">
    <w:name w:val="page number"/>
    <w:aliases w:val="pn"/>
    <w:basedOn w:val="DefaultParagraphFont"/>
    <w:rsid w:val="003C022C"/>
    <w:rPr>
      <w:rFonts w:ascii="Verdana" w:hAnsi="Verdana"/>
      <w:color w:val="808000"/>
      <w:sz w:val="16"/>
    </w:rPr>
  </w:style>
  <w:style w:type="paragraph" w:customStyle="1" w:styleId="PrintMSCorp">
    <w:name w:val="Print MS Corp"/>
    <w:aliases w:val="pms"/>
    <w:next w:val="Text"/>
    <w:rsid w:val="003C022C"/>
    <w:pPr>
      <w:spacing w:before="180" w:after="60" w:line="300" w:lineRule="exact"/>
      <w:jc w:val="right"/>
    </w:pPr>
    <w:rPr>
      <w:rFonts w:ascii="Microsoft Logo 95" w:eastAsia="Times New Roman" w:hAnsi="Microsoft Logo 95"/>
      <w:noProof/>
      <w:color w:val="808000"/>
      <w:sz w:val="26"/>
    </w:rPr>
  </w:style>
  <w:style w:type="paragraph" w:customStyle="1" w:styleId="Slugline">
    <w:name w:val="Slugline"/>
    <w:aliases w:val="slug"/>
    <w:rsid w:val="003C022C"/>
    <w:pPr>
      <w:framePr w:h="900" w:hRule="exact" w:hSpace="180" w:vSpace="180" w:wrap="around" w:vAnchor="page" w:hAnchor="margin" w:y="14601"/>
      <w:spacing w:line="180" w:lineRule="exact"/>
    </w:pPr>
    <w:rPr>
      <w:rFonts w:ascii="Verdana" w:eastAsia="Times New Roman" w:hAnsi="Verdana"/>
      <w:noProof/>
      <w:color w:val="808000"/>
      <w:sz w:val="14"/>
    </w:rPr>
  </w:style>
  <w:style w:type="paragraph" w:styleId="TOC1">
    <w:name w:val="toc 1"/>
    <w:aliases w:val="toc1"/>
    <w:basedOn w:val="Heading9"/>
    <w:uiPriority w:val="39"/>
    <w:rsid w:val="003C022C"/>
    <w:pPr>
      <w:tabs>
        <w:tab w:val="left" w:pos="360"/>
        <w:tab w:val="right" w:leader="dot" w:pos="8920"/>
      </w:tabs>
      <w:spacing w:before="60"/>
      <w:ind w:left="0"/>
      <w:outlineLvl w:val="9"/>
    </w:pPr>
    <w:rPr>
      <w:color w:val="808000"/>
    </w:rPr>
  </w:style>
  <w:style w:type="paragraph" w:styleId="TOC2">
    <w:name w:val="toc 2"/>
    <w:aliases w:val="toc2"/>
    <w:basedOn w:val="Text"/>
    <w:uiPriority w:val="39"/>
    <w:rsid w:val="003C022C"/>
    <w:pPr>
      <w:tabs>
        <w:tab w:val="right" w:leader="dot" w:pos="8920"/>
      </w:tabs>
      <w:ind w:left="360"/>
    </w:pPr>
    <w:rPr>
      <w:color w:val="808000"/>
    </w:rPr>
  </w:style>
  <w:style w:type="paragraph" w:styleId="TOC3">
    <w:name w:val="toc 3"/>
    <w:aliases w:val="toc3"/>
    <w:basedOn w:val="TOC2"/>
    <w:uiPriority w:val="39"/>
    <w:rsid w:val="003C022C"/>
    <w:pPr>
      <w:ind w:left="720"/>
    </w:pPr>
  </w:style>
  <w:style w:type="paragraph" w:styleId="TOC4">
    <w:name w:val="toc 4"/>
    <w:aliases w:val="toc4"/>
    <w:basedOn w:val="TOC2"/>
    <w:semiHidden/>
    <w:rsid w:val="003C022C"/>
    <w:pPr>
      <w:ind w:left="1080"/>
    </w:pPr>
  </w:style>
  <w:style w:type="paragraph" w:styleId="Index2">
    <w:name w:val="index 2"/>
    <w:aliases w:val="idx2"/>
    <w:basedOn w:val="Index1"/>
    <w:semiHidden/>
    <w:rsid w:val="003C022C"/>
    <w:pPr>
      <w:ind w:left="540"/>
    </w:pPr>
  </w:style>
  <w:style w:type="paragraph" w:styleId="Index3">
    <w:name w:val="index 3"/>
    <w:aliases w:val="idx3"/>
    <w:basedOn w:val="Index1"/>
    <w:semiHidden/>
    <w:rsid w:val="003C022C"/>
    <w:pPr>
      <w:ind w:left="900"/>
    </w:pPr>
  </w:style>
  <w:style w:type="character" w:customStyle="1" w:styleId="MultilanguageMarkerAuto">
    <w:name w:val="Multilanguage Marker Auto"/>
    <w:aliases w:val="mma"/>
    <w:basedOn w:val="DefaultParagraphFont"/>
    <w:rsid w:val="003C022C"/>
    <w:rPr>
      <w:rFonts w:ascii="Verdana" w:hAnsi="Verdana"/>
      <w:color w:val="808080"/>
      <w:sz w:val="16"/>
    </w:rPr>
  </w:style>
  <w:style w:type="paragraph" w:customStyle="1" w:styleId="MultilanguageMarkerExplicitBegin">
    <w:name w:val="Multilanguage Marker Explicit Begin"/>
    <w:aliases w:val="mmeb"/>
    <w:basedOn w:val="Text"/>
    <w:rsid w:val="003C022C"/>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3C022C"/>
    <w:rPr>
      <w:u w:val="wave"/>
    </w:rPr>
  </w:style>
  <w:style w:type="character" w:customStyle="1" w:styleId="Bold">
    <w:name w:val="Bold"/>
    <w:aliases w:val="b"/>
    <w:basedOn w:val="DefaultParagraphFont"/>
    <w:rsid w:val="003C022C"/>
    <w:rPr>
      <w:b/>
    </w:rPr>
  </w:style>
  <w:style w:type="character" w:customStyle="1" w:styleId="BoldItalic">
    <w:name w:val="Bold Italic"/>
    <w:aliases w:val="bi"/>
    <w:basedOn w:val="DefaultParagraphFont"/>
    <w:rsid w:val="003C022C"/>
    <w:rPr>
      <w:b/>
      <w:i/>
    </w:rPr>
  </w:style>
  <w:style w:type="character" w:customStyle="1" w:styleId="Italic">
    <w:name w:val="Italic"/>
    <w:aliases w:val="i"/>
    <w:basedOn w:val="DefaultParagraphFont"/>
    <w:rsid w:val="003C022C"/>
    <w:rPr>
      <w:i/>
    </w:rPr>
  </w:style>
  <w:style w:type="paragraph" w:customStyle="1" w:styleId="PrintDivisionNumber">
    <w:name w:val="Print Division Number"/>
    <w:aliases w:val="pdn"/>
    <w:basedOn w:val="PrintDivisionTitle"/>
    <w:next w:val="PrintDivisionTitle"/>
    <w:rsid w:val="003C022C"/>
    <w:pPr>
      <w:spacing w:after="0" w:line="260" w:lineRule="exact"/>
      <w:ind w:right="-120"/>
    </w:pPr>
    <w:rPr>
      <w:b w:val="0"/>
      <w:caps/>
      <w:spacing w:val="120"/>
      <w:sz w:val="20"/>
    </w:rPr>
  </w:style>
  <w:style w:type="character" w:customStyle="1" w:styleId="Strikethrough">
    <w:name w:val="Strikethrough"/>
    <w:aliases w:val="strike"/>
    <w:basedOn w:val="DefaultParagraphFont"/>
    <w:rsid w:val="003C022C"/>
    <w:rPr>
      <w:strike/>
      <w:dstrike w:val="0"/>
    </w:rPr>
  </w:style>
  <w:style w:type="character" w:customStyle="1" w:styleId="Subscript">
    <w:name w:val="Subscript"/>
    <w:aliases w:val="sub"/>
    <w:basedOn w:val="DefaultParagraphFont"/>
    <w:rsid w:val="003C022C"/>
    <w:rPr>
      <w:vertAlign w:val="subscript"/>
    </w:rPr>
  </w:style>
  <w:style w:type="character" w:customStyle="1" w:styleId="Superscript">
    <w:name w:val="Superscript"/>
    <w:aliases w:val="sup"/>
    <w:basedOn w:val="DefaultParagraphFont"/>
    <w:rsid w:val="003C022C"/>
    <w:rPr>
      <w:vertAlign w:val="superscript"/>
    </w:rPr>
  </w:style>
  <w:style w:type="paragraph" w:customStyle="1" w:styleId="TableSpacing">
    <w:name w:val="Table Spacing"/>
    <w:aliases w:val="ts"/>
    <w:basedOn w:val="Text"/>
    <w:next w:val="Text"/>
    <w:rsid w:val="003C022C"/>
    <w:pPr>
      <w:spacing w:before="0" w:after="0" w:line="120" w:lineRule="exact"/>
    </w:pPr>
    <w:rPr>
      <w:color w:val="FF00FF"/>
      <w:sz w:val="12"/>
    </w:rPr>
  </w:style>
  <w:style w:type="paragraph" w:customStyle="1" w:styleId="CodeFontTranslatableinList1">
    <w:name w:val="Code Font Translatable in List 1"/>
    <w:aliases w:val="cft1"/>
    <w:basedOn w:val="CodeinList1"/>
    <w:rsid w:val="003C022C"/>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3C022C"/>
    <w:rPr>
      <w:color w:val="000080"/>
    </w:rPr>
  </w:style>
  <w:style w:type="paragraph" w:customStyle="1" w:styleId="FigureImageMapPlaceholder">
    <w:name w:val="Figure Image Map Placeholder"/>
    <w:aliases w:val="fimp"/>
    <w:basedOn w:val="Figure"/>
    <w:rsid w:val="003C022C"/>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3C022C"/>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rsid w:val="003C022C"/>
    <w:rPr>
      <w:rFonts w:ascii="Courier New" w:hAnsi="Courier New"/>
      <w:color w:val="000000"/>
      <w:sz w:val="20"/>
      <w:bdr w:val="none" w:sz="0" w:space="0" w:color="auto"/>
      <w:shd w:val="pct50" w:color="00FFFF" w:fill="auto"/>
    </w:rPr>
  </w:style>
  <w:style w:type="paragraph" w:customStyle="1" w:styleId="CodeFontTranslatable">
    <w:name w:val="Code Font Translatable"/>
    <w:aliases w:val="cft"/>
    <w:basedOn w:val="Code"/>
    <w:rsid w:val="003C022C"/>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3C022C"/>
    <w:pPr>
      <w:spacing w:before="0" w:line="240" w:lineRule="exact"/>
      <w:ind w:left="360"/>
    </w:pPr>
    <w:rPr>
      <w:color w:val="auto"/>
    </w:rPr>
  </w:style>
  <w:style w:type="paragraph" w:customStyle="1" w:styleId="DefinitioninList">
    <w:name w:val="Definition in List"/>
    <w:aliases w:val="d1"/>
    <w:basedOn w:val="Definition"/>
    <w:rsid w:val="003C022C"/>
    <w:pPr>
      <w:spacing w:after="120" w:line="240" w:lineRule="exact"/>
      <w:ind w:left="720"/>
    </w:pPr>
    <w:rPr>
      <w:color w:val="auto"/>
    </w:rPr>
  </w:style>
  <w:style w:type="character" w:customStyle="1" w:styleId="HTMLLoc">
    <w:name w:val="HTMLLoc"/>
    <w:basedOn w:val="HTML"/>
    <w:rsid w:val="003C022C"/>
    <w:rPr>
      <w:rFonts w:cs="Courier New"/>
      <w:vanish/>
      <w:szCs w:val="20"/>
    </w:rPr>
  </w:style>
  <w:style w:type="character" w:customStyle="1" w:styleId="HTMLRef">
    <w:name w:val="HTMLRef"/>
    <w:basedOn w:val="HTML"/>
    <w:rsid w:val="003C022C"/>
    <w:rPr>
      <w:rFonts w:ascii="Verdana" w:hAnsi="Verdana" w:cs="Courier New"/>
      <w:b/>
      <w:bCs/>
      <w:vanish/>
      <w:color w:val="008000"/>
      <w:szCs w:val="20"/>
    </w:rPr>
  </w:style>
  <w:style w:type="character" w:customStyle="1" w:styleId="HTMLRefInt">
    <w:name w:val="HTMLRefInt"/>
    <w:basedOn w:val="HTMLRef"/>
    <w:rsid w:val="003C022C"/>
  </w:style>
  <w:style w:type="paragraph" w:customStyle="1" w:styleId="ListinTable">
    <w:name w:val="List in Table"/>
    <w:aliases w:val="lit"/>
    <w:basedOn w:val="Text"/>
    <w:rsid w:val="003C022C"/>
    <w:pPr>
      <w:spacing w:before="0" w:after="120" w:line="240" w:lineRule="exact"/>
    </w:pPr>
    <w:rPr>
      <w:color w:val="auto"/>
    </w:rPr>
  </w:style>
  <w:style w:type="paragraph" w:customStyle="1" w:styleId="TextNonlocalizable">
    <w:name w:val="Text Nonlocalizable"/>
    <w:aliases w:val="tn"/>
    <w:basedOn w:val="Text"/>
    <w:autoRedefine/>
    <w:rsid w:val="003C022C"/>
  </w:style>
  <w:style w:type="character" w:customStyle="1" w:styleId="Trademark">
    <w:name w:val="Trademark"/>
    <w:aliases w:val="tr"/>
    <w:rsid w:val="003C022C"/>
    <w:rPr>
      <w:sz w:val="16"/>
      <w:szCs w:val="16"/>
    </w:rPr>
  </w:style>
  <w:style w:type="character" w:customStyle="1" w:styleId="ALT">
    <w:name w:val="ALT"/>
    <w:basedOn w:val="HTML"/>
    <w:rsid w:val="003C022C"/>
    <w:rPr>
      <w:shd w:val="solid" w:color="00FFFF" w:fill="auto"/>
    </w:rPr>
  </w:style>
  <w:style w:type="character" w:customStyle="1" w:styleId="TechReview">
    <w:name w:val="Tech Review"/>
    <w:basedOn w:val="CodeFeaturedElement"/>
    <w:rsid w:val="003C022C"/>
    <w:rPr>
      <w:color w:val="FF9900"/>
    </w:rPr>
  </w:style>
  <w:style w:type="paragraph" w:customStyle="1" w:styleId="TableSpacingAfter">
    <w:name w:val="Table Spacing After"/>
    <w:aliases w:val="tsa"/>
    <w:basedOn w:val="Text"/>
    <w:next w:val="Text"/>
    <w:rsid w:val="003C022C"/>
    <w:pPr>
      <w:spacing w:after="0" w:line="120" w:lineRule="exact"/>
    </w:pPr>
    <w:rPr>
      <w:sz w:val="12"/>
    </w:rPr>
  </w:style>
  <w:style w:type="paragraph" w:customStyle="1" w:styleId="FigureEmbedded">
    <w:name w:val="Figure Embedded"/>
    <w:aliases w:val="fige"/>
    <w:basedOn w:val="Text"/>
    <w:rsid w:val="003C022C"/>
    <w:pPr>
      <w:spacing w:after="180" w:line="240" w:lineRule="auto"/>
    </w:pPr>
  </w:style>
  <w:style w:type="paragraph" w:customStyle="1" w:styleId="LabelSpecial">
    <w:name w:val="Label Special"/>
    <w:aliases w:val="ls"/>
    <w:basedOn w:val="Label"/>
    <w:rsid w:val="003C022C"/>
  </w:style>
  <w:style w:type="paragraph" w:styleId="BalloonText">
    <w:name w:val="Balloon Text"/>
    <w:basedOn w:val="Normal"/>
    <w:semiHidden/>
    <w:rsid w:val="003C022C"/>
    <w:rPr>
      <w:rFonts w:ascii="Tahoma" w:hAnsi="Tahoma" w:cs="Tahoma"/>
      <w:sz w:val="16"/>
      <w:szCs w:val="16"/>
    </w:rPr>
  </w:style>
  <w:style w:type="table" w:styleId="TableGrid">
    <w:name w:val="Table Grid"/>
    <w:basedOn w:val="TableNormal"/>
    <w:rsid w:val="003C022C"/>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C022C"/>
    <w:pPr>
      <w:spacing w:before="100" w:beforeAutospacing="1" w:after="100" w:afterAutospacing="1"/>
    </w:pPr>
    <w:rPr>
      <w:rFonts w:ascii="Times New Roman" w:hAnsi="Times New Roman"/>
      <w:b/>
      <w:sz w:val="24"/>
      <w:szCs w:val="24"/>
    </w:rPr>
  </w:style>
  <w:style w:type="character" w:styleId="Hyperlink">
    <w:name w:val="Hyperlink"/>
    <w:basedOn w:val="DefaultParagraphFont"/>
    <w:uiPriority w:val="99"/>
    <w:rsid w:val="003C022C"/>
    <w:rPr>
      <w:color w:val="0000FF"/>
      <w:u w:val="single"/>
    </w:rPr>
  </w:style>
  <w:style w:type="character" w:styleId="HTMLCode">
    <w:name w:val="HTML Code"/>
    <w:basedOn w:val="DefaultParagraphFont"/>
    <w:rsid w:val="003C022C"/>
    <w:rPr>
      <w:rFonts w:ascii="Courier New" w:eastAsia="Times New Roman" w:hAnsi="Courier New" w:cs="Courier New" w:hint="default"/>
      <w:color w:val="000066"/>
      <w:sz w:val="24"/>
      <w:szCs w:val="24"/>
    </w:rPr>
  </w:style>
  <w:style w:type="paragraph" w:styleId="HTMLPreformatted">
    <w:name w:val="HTML Preformatted"/>
    <w:basedOn w:val="Normal"/>
    <w:rsid w:val="003C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paragraph" w:styleId="CommentSubject">
    <w:name w:val="annotation subject"/>
    <w:basedOn w:val="CommentText"/>
    <w:next w:val="CommentText"/>
    <w:semiHidden/>
    <w:rsid w:val="003C022C"/>
    <w:rPr>
      <w:b/>
      <w:bCs/>
      <w:color w:val="FF00FF"/>
    </w:rPr>
  </w:style>
  <w:style w:type="character" w:customStyle="1" w:styleId="TexxtChar">
    <w:name w:val="Texxt Char"/>
    <w:aliases w:val="t Char Char"/>
    <w:basedOn w:val="DefaultParagraphFont"/>
    <w:link w:val="Text"/>
    <w:rsid w:val="003C022C"/>
    <w:rPr>
      <w:rFonts w:ascii="Verdana" w:eastAsia="Times New Roman" w:hAnsi="Verdana"/>
      <w:color w:val="000000"/>
    </w:rPr>
  </w:style>
  <w:style w:type="character" w:customStyle="1" w:styleId="TextinList1Char">
    <w:name w:val="Text in List 1 Char"/>
    <w:aliases w:val="t1 Char"/>
    <w:basedOn w:val="TexxtChar"/>
    <w:link w:val="TextinList1"/>
    <w:rsid w:val="003C022C"/>
  </w:style>
  <w:style w:type="character" w:customStyle="1" w:styleId="BulletedList1Char">
    <w:name w:val="Bulleted List 1 Char"/>
    <w:aliases w:val="bl1 Char"/>
    <w:basedOn w:val="DefaultParagraphFont"/>
    <w:link w:val="BulletedList1"/>
    <w:rsid w:val="003C022C"/>
    <w:rPr>
      <w:rFonts w:ascii="Verdana" w:eastAsia="Times New Roman" w:hAnsi="Verdana"/>
      <w:color w:val="000000"/>
    </w:rPr>
  </w:style>
  <w:style w:type="character" w:styleId="FollowedHyperlink">
    <w:name w:val="FollowedHyperlink"/>
    <w:basedOn w:val="DefaultParagraphFont"/>
    <w:rsid w:val="003C022C"/>
    <w:rPr>
      <w:color w:val="800080"/>
      <w:u w:val="single"/>
    </w:rPr>
  </w:style>
  <w:style w:type="paragraph" w:customStyle="1" w:styleId="lastincell">
    <w:name w:val="lastincell"/>
    <w:basedOn w:val="Normal"/>
    <w:rsid w:val="0070516A"/>
    <w:pPr>
      <w:spacing w:line="336" w:lineRule="auto"/>
    </w:pPr>
    <w:rPr>
      <w:rFonts w:ascii="Verdana" w:hAnsi="Verdana"/>
      <w:sz w:val="17"/>
      <w:szCs w:val="17"/>
    </w:rPr>
  </w:style>
  <w:style w:type="paragraph" w:customStyle="1" w:styleId="TableHeading">
    <w:name w:val="Table Heading"/>
    <w:basedOn w:val="Normal"/>
    <w:rsid w:val="00790687"/>
    <w:pPr>
      <w:keepNext/>
      <w:keepLines/>
      <w:widowControl w:val="0"/>
      <w:suppressLineNumbers/>
      <w:suppressAutoHyphens/>
      <w:spacing w:before="60" w:after="60"/>
    </w:pPr>
    <w:rPr>
      <w:b/>
      <w:sz w:val="22"/>
    </w:rPr>
  </w:style>
  <w:style w:type="paragraph" w:customStyle="1" w:styleId="TableText">
    <w:name w:val="Table Text"/>
    <w:basedOn w:val="BodyText"/>
    <w:rsid w:val="00790687"/>
    <w:pPr>
      <w:keepLines/>
      <w:spacing w:before="40" w:after="40"/>
    </w:pPr>
    <w:rPr>
      <w:rFonts w:ascii="Arial" w:hAnsi="Arial"/>
      <w:b w:val="0"/>
      <w:snapToGrid w:val="0"/>
      <w:sz w:val="18"/>
    </w:rPr>
  </w:style>
  <w:style w:type="paragraph" w:customStyle="1" w:styleId="TableTitle">
    <w:name w:val="Table Title"/>
    <w:basedOn w:val="Normal"/>
    <w:next w:val="TableText"/>
    <w:rsid w:val="00790687"/>
    <w:pPr>
      <w:keepNext/>
      <w:keepLines/>
      <w:widowControl w:val="0"/>
      <w:suppressLineNumbers/>
      <w:suppressAutoHyphens/>
      <w:spacing w:before="120" w:after="120"/>
      <w:jc w:val="center"/>
    </w:pPr>
    <w:rPr>
      <w:rFonts w:ascii="Arial Black" w:hAnsi="Arial Black"/>
      <w:sz w:val="24"/>
    </w:rPr>
  </w:style>
  <w:style w:type="character" w:customStyle="1" w:styleId="HeaderChar">
    <w:name w:val="Header Char"/>
    <w:aliases w:val="h Char"/>
    <w:basedOn w:val="DefaultParagraphFont"/>
    <w:link w:val="Header"/>
    <w:rsid w:val="00DF01B0"/>
    <w:rPr>
      <w:rFonts w:ascii="Verdana" w:eastAsia="Times New Roman" w:hAnsi="Verdana"/>
      <w:color w:val="808000"/>
      <w:sz w:val="16"/>
    </w:rPr>
  </w:style>
  <w:style w:type="paragraph" w:styleId="TOCHeading">
    <w:name w:val="TOC Heading"/>
    <w:basedOn w:val="Heading1"/>
    <w:next w:val="Normal"/>
    <w:uiPriority w:val="39"/>
    <w:semiHidden/>
    <w:unhideWhenUsed/>
    <w:qFormat/>
    <w:rsid w:val="00A61F0A"/>
    <w:pPr>
      <w:keepLines/>
      <w:spacing w:before="480" w:after="0" w:line="276" w:lineRule="auto"/>
      <w:ind w:left="0"/>
      <w:outlineLvl w:val="9"/>
    </w:pPr>
    <w:rPr>
      <w:rFonts w:asciiTheme="majorHAnsi" w:eastAsiaTheme="majorEastAsia" w:hAnsiTheme="majorHAnsi" w:cstheme="majorBidi"/>
      <w:bCs/>
      <w:color w:val="365F91" w:themeColor="accent1" w:themeShade="BF"/>
      <w:kern w:val="0"/>
      <w:sz w:val="28"/>
      <w:szCs w:val="28"/>
    </w:rPr>
  </w:style>
  <w:style w:type="paragraph" w:styleId="Revision">
    <w:name w:val="Revision"/>
    <w:hidden/>
    <w:uiPriority w:val="99"/>
    <w:semiHidden/>
    <w:rsid w:val="00683356"/>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4940091">
      <w:bodyDiv w:val="1"/>
      <w:marLeft w:val="0"/>
      <w:marRight w:val="0"/>
      <w:marTop w:val="0"/>
      <w:marBottom w:val="0"/>
      <w:divBdr>
        <w:top w:val="none" w:sz="0" w:space="0" w:color="auto"/>
        <w:left w:val="none" w:sz="0" w:space="0" w:color="auto"/>
        <w:bottom w:val="none" w:sz="0" w:space="0" w:color="auto"/>
        <w:right w:val="none" w:sz="0" w:space="0" w:color="auto"/>
      </w:divBdr>
      <w:divsChild>
        <w:div w:id="578489545">
          <w:marLeft w:val="0"/>
          <w:marRight w:val="0"/>
          <w:marTop w:val="0"/>
          <w:marBottom w:val="0"/>
          <w:divBdr>
            <w:top w:val="none" w:sz="0" w:space="0" w:color="auto"/>
            <w:left w:val="none" w:sz="0" w:space="0" w:color="auto"/>
            <w:bottom w:val="none" w:sz="0" w:space="0" w:color="auto"/>
            <w:right w:val="none" w:sz="0" w:space="0" w:color="auto"/>
          </w:divBdr>
        </w:div>
      </w:divsChild>
    </w:div>
    <w:div w:id="119763811">
      <w:bodyDiv w:val="1"/>
      <w:marLeft w:val="0"/>
      <w:marRight w:val="0"/>
      <w:marTop w:val="0"/>
      <w:marBottom w:val="0"/>
      <w:divBdr>
        <w:top w:val="none" w:sz="0" w:space="0" w:color="auto"/>
        <w:left w:val="none" w:sz="0" w:space="0" w:color="auto"/>
        <w:bottom w:val="none" w:sz="0" w:space="0" w:color="auto"/>
        <w:right w:val="none" w:sz="0" w:space="0" w:color="auto"/>
      </w:divBdr>
      <w:divsChild>
        <w:div w:id="305202797">
          <w:marLeft w:val="0"/>
          <w:marRight w:val="0"/>
          <w:marTop w:val="0"/>
          <w:marBottom w:val="0"/>
          <w:divBdr>
            <w:top w:val="none" w:sz="0" w:space="0" w:color="auto"/>
            <w:left w:val="none" w:sz="0" w:space="0" w:color="auto"/>
            <w:bottom w:val="none" w:sz="0" w:space="0" w:color="auto"/>
            <w:right w:val="none" w:sz="0" w:space="0" w:color="auto"/>
          </w:divBdr>
          <w:divsChild>
            <w:div w:id="60446309">
              <w:marLeft w:val="0"/>
              <w:marRight w:val="0"/>
              <w:marTop w:val="0"/>
              <w:marBottom w:val="0"/>
              <w:divBdr>
                <w:top w:val="none" w:sz="0" w:space="0" w:color="auto"/>
                <w:left w:val="none" w:sz="0" w:space="0" w:color="auto"/>
                <w:bottom w:val="none" w:sz="0" w:space="0" w:color="auto"/>
                <w:right w:val="none" w:sz="0" w:space="0" w:color="auto"/>
              </w:divBdr>
              <w:divsChild>
                <w:div w:id="156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241">
      <w:bodyDiv w:val="1"/>
      <w:marLeft w:val="0"/>
      <w:marRight w:val="0"/>
      <w:marTop w:val="0"/>
      <w:marBottom w:val="0"/>
      <w:divBdr>
        <w:top w:val="none" w:sz="0" w:space="0" w:color="auto"/>
        <w:left w:val="none" w:sz="0" w:space="0" w:color="auto"/>
        <w:bottom w:val="none" w:sz="0" w:space="0" w:color="auto"/>
        <w:right w:val="none" w:sz="0" w:space="0" w:color="auto"/>
      </w:divBdr>
    </w:div>
    <w:div w:id="559246966">
      <w:bodyDiv w:val="1"/>
      <w:marLeft w:val="0"/>
      <w:marRight w:val="0"/>
      <w:marTop w:val="0"/>
      <w:marBottom w:val="0"/>
      <w:divBdr>
        <w:top w:val="none" w:sz="0" w:space="0" w:color="auto"/>
        <w:left w:val="none" w:sz="0" w:space="0" w:color="auto"/>
        <w:bottom w:val="none" w:sz="0" w:space="0" w:color="auto"/>
        <w:right w:val="none" w:sz="0" w:space="0" w:color="auto"/>
      </w:divBdr>
      <w:divsChild>
        <w:div w:id="593248448">
          <w:marLeft w:val="0"/>
          <w:marRight w:val="0"/>
          <w:marTop w:val="0"/>
          <w:marBottom w:val="0"/>
          <w:divBdr>
            <w:top w:val="none" w:sz="0" w:space="0" w:color="auto"/>
            <w:left w:val="none" w:sz="0" w:space="0" w:color="auto"/>
            <w:bottom w:val="none" w:sz="0" w:space="0" w:color="auto"/>
            <w:right w:val="none" w:sz="0" w:space="0" w:color="auto"/>
          </w:divBdr>
          <w:divsChild>
            <w:div w:id="54819448">
              <w:marLeft w:val="0"/>
              <w:marRight w:val="0"/>
              <w:marTop w:val="0"/>
              <w:marBottom w:val="0"/>
              <w:divBdr>
                <w:top w:val="none" w:sz="0" w:space="0" w:color="auto"/>
                <w:left w:val="none" w:sz="0" w:space="0" w:color="auto"/>
                <w:bottom w:val="none" w:sz="0" w:space="0" w:color="auto"/>
                <w:right w:val="none" w:sz="0" w:space="0" w:color="auto"/>
              </w:divBdr>
            </w:div>
            <w:div w:id="111437258">
              <w:marLeft w:val="0"/>
              <w:marRight w:val="0"/>
              <w:marTop w:val="0"/>
              <w:marBottom w:val="0"/>
              <w:divBdr>
                <w:top w:val="none" w:sz="0" w:space="0" w:color="auto"/>
                <w:left w:val="none" w:sz="0" w:space="0" w:color="auto"/>
                <w:bottom w:val="none" w:sz="0" w:space="0" w:color="auto"/>
                <w:right w:val="none" w:sz="0" w:space="0" w:color="auto"/>
              </w:divBdr>
            </w:div>
            <w:div w:id="378483713">
              <w:marLeft w:val="0"/>
              <w:marRight w:val="0"/>
              <w:marTop w:val="0"/>
              <w:marBottom w:val="0"/>
              <w:divBdr>
                <w:top w:val="none" w:sz="0" w:space="0" w:color="auto"/>
                <w:left w:val="none" w:sz="0" w:space="0" w:color="auto"/>
                <w:bottom w:val="none" w:sz="0" w:space="0" w:color="auto"/>
                <w:right w:val="none" w:sz="0" w:space="0" w:color="auto"/>
              </w:divBdr>
            </w:div>
            <w:div w:id="532958430">
              <w:marLeft w:val="0"/>
              <w:marRight w:val="0"/>
              <w:marTop w:val="0"/>
              <w:marBottom w:val="0"/>
              <w:divBdr>
                <w:top w:val="none" w:sz="0" w:space="0" w:color="auto"/>
                <w:left w:val="none" w:sz="0" w:space="0" w:color="auto"/>
                <w:bottom w:val="none" w:sz="0" w:space="0" w:color="auto"/>
                <w:right w:val="none" w:sz="0" w:space="0" w:color="auto"/>
              </w:divBdr>
            </w:div>
            <w:div w:id="600183029">
              <w:marLeft w:val="0"/>
              <w:marRight w:val="0"/>
              <w:marTop w:val="0"/>
              <w:marBottom w:val="0"/>
              <w:divBdr>
                <w:top w:val="none" w:sz="0" w:space="0" w:color="auto"/>
                <w:left w:val="none" w:sz="0" w:space="0" w:color="auto"/>
                <w:bottom w:val="none" w:sz="0" w:space="0" w:color="auto"/>
                <w:right w:val="none" w:sz="0" w:space="0" w:color="auto"/>
              </w:divBdr>
            </w:div>
            <w:div w:id="865295783">
              <w:marLeft w:val="0"/>
              <w:marRight w:val="0"/>
              <w:marTop w:val="0"/>
              <w:marBottom w:val="0"/>
              <w:divBdr>
                <w:top w:val="none" w:sz="0" w:space="0" w:color="auto"/>
                <w:left w:val="none" w:sz="0" w:space="0" w:color="auto"/>
                <w:bottom w:val="none" w:sz="0" w:space="0" w:color="auto"/>
                <w:right w:val="none" w:sz="0" w:space="0" w:color="auto"/>
              </w:divBdr>
            </w:div>
            <w:div w:id="879627991">
              <w:marLeft w:val="0"/>
              <w:marRight w:val="0"/>
              <w:marTop w:val="0"/>
              <w:marBottom w:val="0"/>
              <w:divBdr>
                <w:top w:val="none" w:sz="0" w:space="0" w:color="auto"/>
                <w:left w:val="none" w:sz="0" w:space="0" w:color="auto"/>
                <w:bottom w:val="none" w:sz="0" w:space="0" w:color="auto"/>
                <w:right w:val="none" w:sz="0" w:space="0" w:color="auto"/>
              </w:divBdr>
            </w:div>
            <w:div w:id="951280455">
              <w:marLeft w:val="0"/>
              <w:marRight w:val="0"/>
              <w:marTop w:val="0"/>
              <w:marBottom w:val="0"/>
              <w:divBdr>
                <w:top w:val="none" w:sz="0" w:space="0" w:color="auto"/>
                <w:left w:val="none" w:sz="0" w:space="0" w:color="auto"/>
                <w:bottom w:val="none" w:sz="0" w:space="0" w:color="auto"/>
                <w:right w:val="none" w:sz="0" w:space="0" w:color="auto"/>
              </w:divBdr>
            </w:div>
            <w:div w:id="967666844">
              <w:marLeft w:val="0"/>
              <w:marRight w:val="0"/>
              <w:marTop w:val="0"/>
              <w:marBottom w:val="0"/>
              <w:divBdr>
                <w:top w:val="none" w:sz="0" w:space="0" w:color="auto"/>
                <w:left w:val="none" w:sz="0" w:space="0" w:color="auto"/>
                <w:bottom w:val="none" w:sz="0" w:space="0" w:color="auto"/>
                <w:right w:val="none" w:sz="0" w:space="0" w:color="auto"/>
              </w:divBdr>
            </w:div>
            <w:div w:id="1138914039">
              <w:marLeft w:val="0"/>
              <w:marRight w:val="0"/>
              <w:marTop w:val="0"/>
              <w:marBottom w:val="0"/>
              <w:divBdr>
                <w:top w:val="none" w:sz="0" w:space="0" w:color="auto"/>
                <w:left w:val="none" w:sz="0" w:space="0" w:color="auto"/>
                <w:bottom w:val="none" w:sz="0" w:space="0" w:color="auto"/>
                <w:right w:val="none" w:sz="0" w:space="0" w:color="auto"/>
              </w:divBdr>
            </w:div>
            <w:div w:id="1186292379">
              <w:marLeft w:val="0"/>
              <w:marRight w:val="0"/>
              <w:marTop w:val="0"/>
              <w:marBottom w:val="0"/>
              <w:divBdr>
                <w:top w:val="none" w:sz="0" w:space="0" w:color="auto"/>
                <w:left w:val="none" w:sz="0" w:space="0" w:color="auto"/>
                <w:bottom w:val="none" w:sz="0" w:space="0" w:color="auto"/>
                <w:right w:val="none" w:sz="0" w:space="0" w:color="auto"/>
              </w:divBdr>
            </w:div>
            <w:div w:id="1242374208">
              <w:marLeft w:val="0"/>
              <w:marRight w:val="0"/>
              <w:marTop w:val="0"/>
              <w:marBottom w:val="0"/>
              <w:divBdr>
                <w:top w:val="none" w:sz="0" w:space="0" w:color="auto"/>
                <w:left w:val="none" w:sz="0" w:space="0" w:color="auto"/>
                <w:bottom w:val="none" w:sz="0" w:space="0" w:color="auto"/>
                <w:right w:val="none" w:sz="0" w:space="0" w:color="auto"/>
              </w:divBdr>
            </w:div>
            <w:div w:id="1341472106">
              <w:marLeft w:val="0"/>
              <w:marRight w:val="0"/>
              <w:marTop w:val="0"/>
              <w:marBottom w:val="0"/>
              <w:divBdr>
                <w:top w:val="none" w:sz="0" w:space="0" w:color="auto"/>
                <w:left w:val="none" w:sz="0" w:space="0" w:color="auto"/>
                <w:bottom w:val="none" w:sz="0" w:space="0" w:color="auto"/>
                <w:right w:val="none" w:sz="0" w:space="0" w:color="auto"/>
              </w:divBdr>
            </w:div>
            <w:div w:id="1573617052">
              <w:marLeft w:val="0"/>
              <w:marRight w:val="0"/>
              <w:marTop w:val="0"/>
              <w:marBottom w:val="0"/>
              <w:divBdr>
                <w:top w:val="none" w:sz="0" w:space="0" w:color="auto"/>
                <w:left w:val="none" w:sz="0" w:space="0" w:color="auto"/>
                <w:bottom w:val="none" w:sz="0" w:space="0" w:color="auto"/>
                <w:right w:val="none" w:sz="0" w:space="0" w:color="auto"/>
              </w:divBdr>
            </w:div>
            <w:div w:id="1603881563">
              <w:marLeft w:val="0"/>
              <w:marRight w:val="0"/>
              <w:marTop w:val="0"/>
              <w:marBottom w:val="0"/>
              <w:divBdr>
                <w:top w:val="none" w:sz="0" w:space="0" w:color="auto"/>
                <w:left w:val="none" w:sz="0" w:space="0" w:color="auto"/>
                <w:bottom w:val="none" w:sz="0" w:space="0" w:color="auto"/>
                <w:right w:val="none" w:sz="0" w:space="0" w:color="auto"/>
              </w:divBdr>
            </w:div>
            <w:div w:id="1785996274">
              <w:marLeft w:val="0"/>
              <w:marRight w:val="0"/>
              <w:marTop w:val="0"/>
              <w:marBottom w:val="0"/>
              <w:divBdr>
                <w:top w:val="none" w:sz="0" w:space="0" w:color="auto"/>
                <w:left w:val="none" w:sz="0" w:space="0" w:color="auto"/>
                <w:bottom w:val="none" w:sz="0" w:space="0" w:color="auto"/>
                <w:right w:val="none" w:sz="0" w:space="0" w:color="auto"/>
              </w:divBdr>
            </w:div>
            <w:div w:id="1838574178">
              <w:marLeft w:val="0"/>
              <w:marRight w:val="0"/>
              <w:marTop w:val="0"/>
              <w:marBottom w:val="0"/>
              <w:divBdr>
                <w:top w:val="none" w:sz="0" w:space="0" w:color="auto"/>
                <w:left w:val="none" w:sz="0" w:space="0" w:color="auto"/>
                <w:bottom w:val="none" w:sz="0" w:space="0" w:color="auto"/>
                <w:right w:val="none" w:sz="0" w:space="0" w:color="auto"/>
              </w:divBdr>
            </w:div>
            <w:div w:id="1842427954">
              <w:marLeft w:val="0"/>
              <w:marRight w:val="0"/>
              <w:marTop w:val="0"/>
              <w:marBottom w:val="0"/>
              <w:divBdr>
                <w:top w:val="none" w:sz="0" w:space="0" w:color="auto"/>
                <w:left w:val="none" w:sz="0" w:space="0" w:color="auto"/>
                <w:bottom w:val="none" w:sz="0" w:space="0" w:color="auto"/>
                <w:right w:val="none" w:sz="0" w:space="0" w:color="auto"/>
              </w:divBdr>
            </w:div>
            <w:div w:id="1929149999">
              <w:marLeft w:val="0"/>
              <w:marRight w:val="0"/>
              <w:marTop w:val="0"/>
              <w:marBottom w:val="0"/>
              <w:divBdr>
                <w:top w:val="none" w:sz="0" w:space="0" w:color="auto"/>
                <w:left w:val="none" w:sz="0" w:space="0" w:color="auto"/>
                <w:bottom w:val="none" w:sz="0" w:space="0" w:color="auto"/>
                <w:right w:val="none" w:sz="0" w:space="0" w:color="auto"/>
              </w:divBdr>
            </w:div>
            <w:div w:id="1942031300">
              <w:marLeft w:val="0"/>
              <w:marRight w:val="0"/>
              <w:marTop w:val="0"/>
              <w:marBottom w:val="0"/>
              <w:divBdr>
                <w:top w:val="none" w:sz="0" w:space="0" w:color="auto"/>
                <w:left w:val="none" w:sz="0" w:space="0" w:color="auto"/>
                <w:bottom w:val="none" w:sz="0" w:space="0" w:color="auto"/>
                <w:right w:val="none" w:sz="0" w:space="0" w:color="auto"/>
              </w:divBdr>
            </w:div>
            <w:div w:id="20773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7950">
      <w:bodyDiv w:val="1"/>
      <w:marLeft w:val="0"/>
      <w:marRight w:val="0"/>
      <w:marTop w:val="0"/>
      <w:marBottom w:val="0"/>
      <w:divBdr>
        <w:top w:val="none" w:sz="0" w:space="0" w:color="auto"/>
        <w:left w:val="none" w:sz="0" w:space="0" w:color="auto"/>
        <w:bottom w:val="none" w:sz="0" w:space="0" w:color="auto"/>
        <w:right w:val="none" w:sz="0" w:space="0" w:color="auto"/>
      </w:divBdr>
      <w:divsChild>
        <w:div w:id="293213767">
          <w:marLeft w:val="0"/>
          <w:marRight w:val="0"/>
          <w:marTop w:val="0"/>
          <w:marBottom w:val="0"/>
          <w:divBdr>
            <w:top w:val="none" w:sz="0" w:space="0" w:color="auto"/>
            <w:left w:val="none" w:sz="0" w:space="0" w:color="auto"/>
            <w:bottom w:val="none" w:sz="0" w:space="0" w:color="auto"/>
            <w:right w:val="none" w:sz="0" w:space="0" w:color="auto"/>
          </w:divBdr>
          <w:divsChild>
            <w:div w:id="756681751">
              <w:marLeft w:val="0"/>
              <w:marRight w:val="0"/>
              <w:marTop w:val="0"/>
              <w:marBottom w:val="0"/>
              <w:divBdr>
                <w:top w:val="none" w:sz="0" w:space="0" w:color="auto"/>
                <w:left w:val="none" w:sz="0" w:space="0" w:color="auto"/>
                <w:bottom w:val="none" w:sz="0" w:space="0" w:color="auto"/>
                <w:right w:val="none" w:sz="0" w:space="0" w:color="auto"/>
              </w:divBdr>
            </w:div>
            <w:div w:id="1276643322">
              <w:marLeft w:val="0"/>
              <w:marRight w:val="0"/>
              <w:marTop w:val="0"/>
              <w:marBottom w:val="0"/>
              <w:divBdr>
                <w:top w:val="none" w:sz="0" w:space="0" w:color="auto"/>
                <w:left w:val="none" w:sz="0" w:space="0" w:color="auto"/>
                <w:bottom w:val="none" w:sz="0" w:space="0" w:color="auto"/>
                <w:right w:val="none" w:sz="0" w:space="0" w:color="auto"/>
              </w:divBdr>
            </w:div>
            <w:div w:id="1998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868">
      <w:bodyDiv w:val="1"/>
      <w:marLeft w:val="0"/>
      <w:marRight w:val="0"/>
      <w:marTop w:val="0"/>
      <w:marBottom w:val="0"/>
      <w:divBdr>
        <w:top w:val="none" w:sz="0" w:space="0" w:color="auto"/>
        <w:left w:val="none" w:sz="0" w:space="0" w:color="auto"/>
        <w:bottom w:val="none" w:sz="0" w:space="0" w:color="auto"/>
        <w:right w:val="none" w:sz="0" w:space="0" w:color="auto"/>
      </w:divBdr>
      <w:divsChild>
        <w:div w:id="767970531">
          <w:marLeft w:val="0"/>
          <w:marRight w:val="0"/>
          <w:marTop w:val="0"/>
          <w:marBottom w:val="0"/>
          <w:divBdr>
            <w:top w:val="none" w:sz="0" w:space="0" w:color="auto"/>
            <w:left w:val="none" w:sz="0" w:space="0" w:color="auto"/>
            <w:bottom w:val="none" w:sz="0" w:space="0" w:color="auto"/>
            <w:right w:val="none" w:sz="0" w:space="0" w:color="auto"/>
          </w:divBdr>
          <w:divsChild>
            <w:div w:id="2113209846">
              <w:marLeft w:val="0"/>
              <w:marRight w:val="0"/>
              <w:marTop w:val="0"/>
              <w:marBottom w:val="0"/>
              <w:divBdr>
                <w:top w:val="none" w:sz="0" w:space="0" w:color="auto"/>
                <w:left w:val="none" w:sz="0" w:space="0" w:color="auto"/>
                <w:bottom w:val="none" w:sz="0" w:space="0" w:color="auto"/>
                <w:right w:val="none" w:sz="0" w:space="0" w:color="auto"/>
              </w:divBdr>
              <w:divsChild>
                <w:div w:id="512454914">
                  <w:marLeft w:val="0"/>
                  <w:marRight w:val="0"/>
                  <w:marTop w:val="0"/>
                  <w:marBottom w:val="0"/>
                  <w:divBdr>
                    <w:top w:val="none" w:sz="0" w:space="0" w:color="auto"/>
                    <w:left w:val="none" w:sz="0" w:space="0" w:color="auto"/>
                    <w:bottom w:val="none" w:sz="0" w:space="0" w:color="auto"/>
                    <w:right w:val="none" w:sz="0" w:space="0" w:color="auto"/>
                  </w:divBdr>
                  <w:divsChild>
                    <w:div w:id="825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9310">
      <w:bodyDiv w:val="1"/>
      <w:marLeft w:val="0"/>
      <w:marRight w:val="0"/>
      <w:marTop w:val="0"/>
      <w:marBottom w:val="0"/>
      <w:divBdr>
        <w:top w:val="none" w:sz="0" w:space="0" w:color="auto"/>
        <w:left w:val="none" w:sz="0" w:space="0" w:color="auto"/>
        <w:bottom w:val="none" w:sz="0" w:space="0" w:color="auto"/>
        <w:right w:val="none" w:sz="0" w:space="0" w:color="auto"/>
      </w:divBdr>
      <w:divsChild>
        <w:div w:id="2127699785">
          <w:marLeft w:val="0"/>
          <w:marRight w:val="0"/>
          <w:marTop w:val="0"/>
          <w:marBottom w:val="0"/>
          <w:divBdr>
            <w:top w:val="none" w:sz="0" w:space="0" w:color="auto"/>
            <w:left w:val="none" w:sz="0" w:space="0" w:color="auto"/>
            <w:bottom w:val="none" w:sz="0" w:space="0" w:color="auto"/>
            <w:right w:val="none" w:sz="0" w:space="0" w:color="auto"/>
          </w:divBdr>
          <w:divsChild>
            <w:div w:id="1090470656">
              <w:marLeft w:val="0"/>
              <w:marRight w:val="0"/>
              <w:marTop w:val="0"/>
              <w:marBottom w:val="0"/>
              <w:divBdr>
                <w:top w:val="none" w:sz="0" w:space="0" w:color="auto"/>
                <w:left w:val="none" w:sz="0" w:space="0" w:color="auto"/>
                <w:bottom w:val="none" w:sz="0" w:space="0" w:color="auto"/>
                <w:right w:val="none" w:sz="0" w:space="0" w:color="auto"/>
              </w:divBdr>
              <w:divsChild>
                <w:div w:id="148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161">
      <w:bodyDiv w:val="1"/>
      <w:marLeft w:val="0"/>
      <w:marRight w:val="0"/>
      <w:marTop w:val="0"/>
      <w:marBottom w:val="0"/>
      <w:divBdr>
        <w:top w:val="none" w:sz="0" w:space="0" w:color="auto"/>
        <w:left w:val="none" w:sz="0" w:space="0" w:color="auto"/>
        <w:bottom w:val="none" w:sz="0" w:space="0" w:color="auto"/>
        <w:right w:val="none" w:sz="0" w:space="0" w:color="auto"/>
      </w:divBdr>
    </w:div>
    <w:div w:id="1217276593">
      <w:bodyDiv w:val="1"/>
      <w:marLeft w:val="0"/>
      <w:marRight w:val="0"/>
      <w:marTop w:val="0"/>
      <w:marBottom w:val="0"/>
      <w:divBdr>
        <w:top w:val="none" w:sz="0" w:space="0" w:color="auto"/>
        <w:left w:val="none" w:sz="0" w:space="0" w:color="auto"/>
        <w:bottom w:val="none" w:sz="0" w:space="0" w:color="auto"/>
        <w:right w:val="none" w:sz="0" w:space="0" w:color="auto"/>
      </w:divBdr>
      <w:divsChild>
        <w:div w:id="571240538">
          <w:marLeft w:val="0"/>
          <w:marRight w:val="0"/>
          <w:marTop w:val="0"/>
          <w:marBottom w:val="0"/>
          <w:divBdr>
            <w:top w:val="none" w:sz="0" w:space="0" w:color="auto"/>
            <w:left w:val="none" w:sz="0" w:space="0" w:color="auto"/>
            <w:bottom w:val="none" w:sz="0" w:space="0" w:color="auto"/>
            <w:right w:val="none" w:sz="0" w:space="0" w:color="auto"/>
          </w:divBdr>
          <w:divsChild>
            <w:div w:id="31466940">
              <w:marLeft w:val="0"/>
              <w:marRight w:val="0"/>
              <w:marTop w:val="0"/>
              <w:marBottom w:val="0"/>
              <w:divBdr>
                <w:top w:val="none" w:sz="0" w:space="0" w:color="auto"/>
                <w:left w:val="none" w:sz="0" w:space="0" w:color="auto"/>
                <w:bottom w:val="none" w:sz="0" w:space="0" w:color="auto"/>
                <w:right w:val="none" w:sz="0" w:space="0" w:color="auto"/>
              </w:divBdr>
            </w:div>
            <w:div w:id="346371296">
              <w:marLeft w:val="0"/>
              <w:marRight w:val="0"/>
              <w:marTop w:val="0"/>
              <w:marBottom w:val="0"/>
              <w:divBdr>
                <w:top w:val="none" w:sz="0" w:space="0" w:color="auto"/>
                <w:left w:val="none" w:sz="0" w:space="0" w:color="auto"/>
                <w:bottom w:val="none" w:sz="0" w:space="0" w:color="auto"/>
                <w:right w:val="none" w:sz="0" w:space="0" w:color="auto"/>
              </w:divBdr>
            </w:div>
            <w:div w:id="573243760">
              <w:marLeft w:val="0"/>
              <w:marRight w:val="0"/>
              <w:marTop w:val="0"/>
              <w:marBottom w:val="0"/>
              <w:divBdr>
                <w:top w:val="none" w:sz="0" w:space="0" w:color="auto"/>
                <w:left w:val="none" w:sz="0" w:space="0" w:color="auto"/>
                <w:bottom w:val="none" w:sz="0" w:space="0" w:color="auto"/>
                <w:right w:val="none" w:sz="0" w:space="0" w:color="auto"/>
              </w:divBdr>
            </w:div>
            <w:div w:id="846098209">
              <w:marLeft w:val="0"/>
              <w:marRight w:val="0"/>
              <w:marTop w:val="0"/>
              <w:marBottom w:val="0"/>
              <w:divBdr>
                <w:top w:val="none" w:sz="0" w:space="0" w:color="auto"/>
                <w:left w:val="none" w:sz="0" w:space="0" w:color="auto"/>
                <w:bottom w:val="none" w:sz="0" w:space="0" w:color="auto"/>
                <w:right w:val="none" w:sz="0" w:space="0" w:color="auto"/>
              </w:divBdr>
            </w:div>
            <w:div w:id="1813209322">
              <w:marLeft w:val="0"/>
              <w:marRight w:val="0"/>
              <w:marTop w:val="0"/>
              <w:marBottom w:val="0"/>
              <w:divBdr>
                <w:top w:val="none" w:sz="0" w:space="0" w:color="auto"/>
                <w:left w:val="none" w:sz="0" w:space="0" w:color="auto"/>
                <w:bottom w:val="none" w:sz="0" w:space="0" w:color="auto"/>
                <w:right w:val="none" w:sz="0" w:space="0" w:color="auto"/>
              </w:divBdr>
            </w:div>
            <w:div w:id="21414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572">
      <w:bodyDiv w:val="1"/>
      <w:marLeft w:val="0"/>
      <w:marRight w:val="0"/>
      <w:marTop w:val="0"/>
      <w:marBottom w:val="0"/>
      <w:divBdr>
        <w:top w:val="none" w:sz="0" w:space="0" w:color="auto"/>
        <w:left w:val="none" w:sz="0" w:space="0" w:color="auto"/>
        <w:bottom w:val="none" w:sz="0" w:space="0" w:color="auto"/>
        <w:right w:val="none" w:sz="0" w:space="0" w:color="auto"/>
      </w:divBdr>
      <w:divsChild>
        <w:div w:id="1586961432">
          <w:marLeft w:val="0"/>
          <w:marRight w:val="0"/>
          <w:marTop w:val="0"/>
          <w:marBottom w:val="0"/>
          <w:divBdr>
            <w:top w:val="none" w:sz="0" w:space="0" w:color="auto"/>
            <w:left w:val="none" w:sz="0" w:space="0" w:color="auto"/>
            <w:bottom w:val="none" w:sz="0" w:space="0" w:color="auto"/>
            <w:right w:val="none" w:sz="0" w:space="0" w:color="auto"/>
          </w:divBdr>
        </w:div>
      </w:divsChild>
    </w:div>
    <w:div w:id="1317800406">
      <w:bodyDiv w:val="1"/>
      <w:marLeft w:val="0"/>
      <w:marRight w:val="0"/>
      <w:marTop w:val="0"/>
      <w:marBottom w:val="0"/>
      <w:divBdr>
        <w:top w:val="none" w:sz="0" w:space="0" w:color="auto"/>
        <w:left w:val="none" w:sz="0" w:space="0" w:color="auto"/>
        <w:bottom w:val="none" w:sz="0" w:space="0" w:color="auto"/>
        <w:right w:val="none" w:sz="0" w:space="0" w:color="auto"/>
      </w:divBdr>
      <w:divsChild>
        <w:div w:id="491454586">
          <w:marLeft w:val="0"/>
          <w:marRight w:val="0"/>
          <w:marTop w:val="0"/>
          <w:marBottom w:val="0"/>
          <w:divBdr>
            <w:top w:val="none" w:sz="0" w:space="0" w:color="auto"/>
            <w:left w:val="none" w:sz="0" w:space="0" w:color="auto"/>
            <w:bottom w:val="none" w:sz="0" w:space="0" w:color="auto"/>
            <w:right w:val="none" w:sz="0" w:space="0" w:color="auto"/>
          </w:divBdr>
          <w:divsChild>
            <w:div w:id="442382436">
              <w:marLeft w:val="0"/>
              <w:marRight w:val="0"/>
              <w:marTop w:val="0"/>
              <w:marBottom w:val="0"/>
              <w:divBdr>
                <w:top w:val="none" w:sz="0" w:space="0" w:color="auto"/>
                <w:left w:val="none" w:sz="0" w:space="0" w:color="auto"/>
                <w:bottom w:val="none" w:sz="0" w:space="0" w:color="auto"/>
                <w:right w:val="none" w:sz="0" w:space="0" w:color="auto"/>
              </w:divBdr>
            </w:div>
            <w:div w:id="1109197901">
              <w:marLeft w:val="0"/>
              <w:marRight w:val="0"/>
              <w:marTop w:val="0"/>
              <w:marBottom w:val="0"/>
              <w:divBdr>
                <w:top w:val="none" w:sz="0" w:space="0" w:color="auto"/>
                <w:left w:val="none" w:sz="0" w:space="0" w:color="auto"/>
                <w:bottom w:val="none" w:sz="0" w:space="0" w:color="auto"/>
                <w:right w:val="none" w:sz="0" w:space="0" w:color="auto"/>
              </w:divBdr>
            </w:div>
            <w:div w:id="1424687349">
              <w:marLeft w:val="0"/>
              <w:marRight w:val="0"/>
              <w:marTop w:val="0"/>
              <w:marBottom w:val="0"/>
              <w:divBdr>
                <w:top w:val="none" w:sz="0" w:space="0" w:color="auto"/>
                <w:left w:val="none" w:sz="0" w:space="0" w:color="auto"/>
                <w:bottom w:val="none" w:sz="0" w:space="0" w:color="auto"/>
                <w:right w:val="none" w:sz="0" w:space="0" w:color="auto"/>
              </w:divBdr>
            </w:div>
            <w:div w:id="1433865689">
              <w:marLeft w:val="0"/>
              <w:marRight w:val="0"/>
              <w:marTop w:val="0"/>
              <w:marBottom w:val="0"/>
              <w:divBdr>
                <w:top w:val="none" w:sz="0" w:space="0" w:color="auto"/>
                <w:left w:val="none" w:sz="0" w:space="0" w:color="auto"/>
                <w:bottom w:val="none" w:sz="0" w:space="0" w:color="auto"/>
                <w:right w:val="none" w:sz="0" w:space="0" w:color="auto"/>
              </w:divBdr>
            </w:div>
            <w:div w:id="1917668274">
              <w:marLeft w:val="0"/>
              <w:marRight w:val="0"/>
              <w:marTop w:val="0"/>
              <w:marBottom w:val="0"/>
              <w:divBdr>
                <w:top w:val="none" w:sz="0" w:space="0" w:color="auto"/>
                <w:left w:val="none" w:sz="0" w:space="0" w:color="auto"/>
                <w:bottom w:val="none" w:sz="0" w:space="0" w:color="auto"/>
                <w:right w:val="none" w:sz="0" w:space="0" w:color="auto"/>
              </w:divBdr>
            </w:div>
            <w:div w:id="1972902159">
              <w:marLeft w:val="0"/>
              <w:marRight w:val="0"/>
              <w:marTop w:val="0"/>
              <w:marBottom w:val="0"/>
              <w:divBdr>
                <w:top w:val="none" w:sz="0" w:space="0" w:color="auto"/>
                <w:left w:val="none" w:sz="0" w:space="0" w:color="auto"/>
                <w:bottom w:val="none" w:sz="0" w:space="0" w:color="auto"/>
                <w:right w:val="none" w:sz="0" w:space="0" w:color="auto"/>
              </w:divBdr>
            </w:div>
            <w:div w:id="20059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179">
      <w:bodyDiv w:val="1"/>
      <w:marLeft w:val="0"/>
      <w:marRight w:val="0"/>
      <w:marTop w:val="0"/>
      <w:marBottom w:val="0"/>
      <w:divBdr>
        <w:top w:val="none" w:sz="0" w:space="0" w:color="auto"/>
        <w:left w:val="none" w:sz="0" w:space="0" w:color="auto"/>
        <w:bottom w:val="none" w:sz="0" w:space="0" w:color="auto"/>
        <w:right w:val="none" w:sz="0" w:space="0" w:color="auto"/>
      </w:divBdr>
    </w:div>
    <w:div w:id="1519000696">
      <w:bodyDiv w:val="1"/>
      <w:marLeft w:val="0"/>
      <w:marRight w:val="0"/>
      <w:marTop w:val="0"/>
      <w:marBottom w:val="0"/>
      <w:divBdr>
        <w:top w:val="none" w:sz="0" w:space="0" w:color="auto"/>
        <w:left w:val="none" w:sz="0" w:space="0" w:color="auto"/>
        <w:bottom w:val="none" w:sz="0" w:space="0" w:color="auto"/>
        <w:right w:val="none" w:sz="0" w:space="0" w:color="auto"/>
      </w:divBdr>
      <w:divsChild>
        <w:div w:id="682897594">
          <w:marLeft w:val="0"/>
          <w:marRight w:val="0"/>
          <w:marTop w:val="0"/>
          <w:marBottom w:val="0"/>
          <w:divBdr>
            <w:top w:val="none" w:sz="0" w:space="0" w:color="auto"/>
            <w:left w:val="none" w:sz="0" w:space="0" w:color="auto"/>
            <w:bottom w:val="none" w:sz="0" w:space="0" w:color="auto"/>
            <w:right w:val="none" w:sz="0" w:space="0" w:color="auto"/>
          </w:divBdr>
          <w:divsChild>
            <w:div w:id="20709641">
              <w:marLeft w:val="0"/>
              <w:marRight w:val="0"/>
              <w:marTop w:val="0"/>
              <w:marBottom w:val="0"/>
              <w:divBdr>
                <w:top w:val="none" w:sz="0" w:space="0" w:color="auto"/>
                <w:left w:val="none" w:sz="0" w:space="0" w:color="auto"/>
                <w:bottom w:val="none" w:sz="0" w:space="0" w:color="auto"/>
                <w:right w:val="none" w:sz="0" w:space="0" w:color="auto"/>
              </w:divBdr>
            </w:div>
            <w:div w:id="809522711">
              <w:marLeft w:val="0"/>
              <w:marRight w:val="0"/>
              <w:marTop w:val="0"/>
              <w:marBottom w:val="0"/>
              <w:divBdr>
                <w:top w:val="none" w:sz="0" w:space="0" w:color="auto"/>
                <w:left w:val="none" w:sz="0" w:space="0" w:color="auto"/>
                <w:bottom w:val="none" w:sz="0" w:space="0" w:color="auto"/>
                <w:right w:val="none" w:sz="0" w:space="0" w:color="auto"/>
              </w:divBdr>
            </w:div>
            <w:div w:id="1090739528">
              <w:marLeft w:val="0"/>
              <w:marRight w:val="0"/>
              <w:marTop w:val="0"/>
              <w:marBottom w:val="0"/>
              <w:divBdr>
                <w:top w:val="none" w:sz="0" w:space="0" w:color="auto"/>
                <w:left w:val="none" w:sz="0" w:space="0" w:color="auto"/>
                <w:bottom w:val="none" w:sz="0" w:space="0" w:color="auto"/>
                <w:right w:val="none" w:sz="0" w:space="0" w:color="auto"/>
              </w:divBdr>
            </w:div>
            <w:div w:id="112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516">
      <w:bodyDiv w:val="1"/>
      <w:marLeft w:val="0"/>
      <w:marRight w:val="0"/>
      <w:marTop w:val="0"/>
      <w:marBottom w:val="0"/>
      <w:divBdr>
        <w:top w:val="none" w:sz="0" w:space="0" w:color="auto"/>
        <w:left w:val="none" w:sz="0" w:space="0" w:color="auto"/>
        <w:bottom w:val="none" w:sz="0" w:space="0" w:color="auto"/>
        <w:right w:val="none" w:sz="0" w:space="0" w:color="auto"/>
      </w:divBdr>
      <w:divsChild>
        <w:div w:id="1611861696">
          <w:marLeft w:val="0"/>
          <w:marRight w:val="0"/>
          <w:marTop w:val="0"/>
          <w:marBottom w:val="0"/>
          <w:divBdr>
            <w:top w:val="none" w:sz="0" w:space="0" w:color="auto"/>
            <w:left w:val="none" w:sz="0" w:space="0" w:color="auto"/>
            <w:bottom w:val="none" w:sz="0" w:space="0" w:color="auto"/>
            <w:right w:val="none" w:sz="0" w:space="0" w:color="auto"/>
          </w:divBdr>
          <w:divsChild>
            <w:div w:id="1973706484">
              <w:marLeft w:val="0"/>
              <w:marRight w:val="0"/>
              <w:marTop w:val="0"/>
              <w:marBottom w:val="0"/>
              <w:divBdr>
                <w:top w:val="none" w:sz="0" w:space="0" w:color="auto"/>
                <w:left w:val="none" w:sz="0" w:space="0" w:color="auto"/>
                <w:bottom w:val="none" w:sz="0" w:space="0" w:color="auto"/>
                <w:right w:val="none" w:sz="0" w:space="0" w:color="auto"/>
              </w:divBdr>
              <w:divsChild>
                <w:div w:id="1761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4427">
      <w:bodyDiv w:val="1"/>
      <w:marLeft w:val="0"/>
      <w:marRight w:val="0"/>
      <w:marTop w:val="0"/>
      <w:marBottom w:val="0"/>
      <w:divBdr>
        <w:top w:val="none" w:sz="0" w:space="0" w:color="auto"/>
        <w:left w:val="none" w:sz="0" w:space="0" w:color="auto"/>
        <w:bottom w:val="none" w:sz="0" w:space="0" w:color="auto"/>
        <w:right w:val="none" w:sz="0" w:space="0" w:color="auto"/>
      </w:divBdr>
      <w:divsChild>
        <w:div w:id="1462265325">
          <w:marLeft w:val="0"/>
          <w:marRight w:val="0"/>
          <w:marTop w:val="0"/>
          <w:marBottom w:val="0"/>
          <w:divBdr>
            <w:top w:val="none" w:sz="0" w:space="0" w:color="auto"/>
            <w:left w:val="none" w:sz="0" w:space="0" w:color="auto"/>
            <w:bottom w:val="none" w:sz="0" w:space="0" w:color="auto"/>
            <w:right w:val="none" w:sz="0" w:space="0" w:color="auto"/>
          </w:divBdr>
          <w:divsChild>
            <w:div w:id="1424112263">
              <w:marLeft w:val="0"/>
              <w:marRight w:val="0"/>
              <w:marTop w:val="0"/>
              <w:marBottom w:val="0"/>
              <w:divBdr>
                <w:top w:val="none" w:sz="0" w:space="0" w:color="auto"/>
                <w:left w:val="none" w:sz="0" w:space="0" w:color="auto"/>
                <w:bottom w:val="none" w:sz="0" w:space="0" w:color="auto"/>
                <w:right w:val="none" w:sz="0" w:space="0" w:color="auto"/>
              </w:divBdr>
              <w:divsChild>
                <w:div w:id="557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hyperlink" Target="http://www.microsoft.com/resources/sharedsource/Licensing/Enterprise.mspx" TargetMode="External"/><Relationship Id="rId39" Type="http://schemas.openxmlformats.org/officeDocument/2006/relationships/hyperlink" Target="http://oraclestore.oracle.com/OA_HTML/ibeCCtpSctDspRte.jsp?section=11365&amp;media=os_g_english_help_licensing" TargetMode="External"/><Relationship Id="rId3" Type="http://schemas.openxmlformats.org/officeDocument/2006/relationships/styles" Target="styles.xml"/><Relationship Id="rId21" Type="http://schemas.openxmlformats.org/officeDocument/2006/relationships/hyperlink" Target="http://www.microsoft.com/licensing/sa/benefits/iwss.mspx" TargetMode="External"/><Relationship Id="rId34" Type="http://schemas.openxmlformats.org/officeDocument/2006/relationships/image" Target="media/image9.jpeg"/><Relationship Id="rId42" Type="http://schemas.openxmlformats.org/officeDocument/2006/relationships/hyperlink" Target="http://www.oracle.com/corporate/pricing/applications-price-list.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yperlink" Target="http://download.microsoft.com/download/b/6/f/b6fbaee0-2465-49ad-92b7-fd31d6bc9ee4/SACustomer_Guide.doc" TargetMode="External"/><Relationship Id="rId33" Type="http://schemas.openxmlformats.org/officeDocument/2006/relationships/hyperlink" Target="http://www.microsoft.com/sql/evaluation/compare/ibm/default.mspx" TargetMode="External"/><Relationship Id="rId38" Type="http://schemas.openxmlformats.org/officeDocument/2006/relationships/hyperlink" Target="http://www-306.ibm.com/software/info/app/ecatalog/index.html" TargetMode="External"/><Relationship Id="rId46" Type="http://schemas.openxmlformats.org/officeDocument/2006/relationships/hyperlink" Target="mailto:sqlfback@microsoft.com?subject=White%20Paper%20Feedback:%20Understanding%20Database%20Pricin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microsoft.com/licensing/sa/benefits/iwss.mspx" TargetMode="External"/><Relationship Id="rId29" Type="http://schemas.openxmlformats.org/officeDocument/2006/relationships/hyperlink" Target="http://www.microsoft.com/licensing/programs/sa/default.mspx" TargetMode="External"/><Relationship Id="rId41" Type="http://schemas.openxmlformats.org/officeDocument/2006/relationships/hyperlink" Target="http://www.oracle.com/corporate/pricing/si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crosoft.com/licensing/sa/benefits/home_use_rights.mspx" TargetMode="External"/><Relationship Id="rId32" Type="http://schemas.openxmlformats.org/officeDocument/2006/relationships/image" Target="media/image8.png"/><Relationship Id="rId37" Type="http://schemas.openxmlformats.org/officeDocument/2006/relationships/hyperlink" Target="http://www.ibm.com/developerworks/db2/library/techarticle/dm-0611zikopoulos/" TargetMode="External"/><Relationship Id="rId40" Type="http://schemas.openxmlformats.org/officeDocument/2006/relationships/hyperlink" Target="http://oraclestore.oracle.com/OA_HTML/ibeCCtpSctDspRte.jsp?section=11365&amp;media=os_user_minimums" TargetMode="External"/><Relationship Id="rId45" Type="http://schemas.openxmlformats.org/officeDocument/2006/relationships/hyperlink" Target="http://msdn2.microsoft.com/en-us/sqlserver/default.asp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icrosoft.com/windows/products/winfamily/virtualpc/default.mspx" TargetMode="External"/><Relationship Id="rId28" Type="http://schemas.openxmlformats.org/officeDocument/2006/relationships/hyperlink" Target="http://www.microsoft.com/licensing/sa/benefits/fundamentals.mspx" TargetMode="External"/><Relationship Id="rId36" Type="http://schemas.openxmlformats.org/officeDocument/2006/relationships/hyperlink" Target="http://www.microsoft.com/sql/howtobuy/virtualization.mspx" TargetMode="External"/><Relationship Id="rId10" Type="http://schemas.openxmlformats.org/officeDocument/2006/relationships/header" Target="header2.xml"/><Relationship Id="rId19" Type="http://schemas.openxmlformats.org/officeDocument/2006/relationships/hyperlink" Target="http://download.microsoft.com/download/e/2/3/e2341d27-107f-4613-ad97-eb277b48241e/UndrstDBPrcng.doc" TargetMode="External"/><Relationship Id="rId31" Type="http://schemas.openxmlformats.org/officeDocument/2006/relationships/hyperlink" Target="http://www.microsoft.com/sql/evaluation/compare/oracle/default.mspx" TargetMode="External"/><Relationship Id="rId44" Type="http://schemas.openxmlformats.org/officeDocument/2006/relationships/hyperlink" Target="http://technet.microsoft.com/en-us/sqlserver/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www.microsoft.com/windows/products/windowsvista/enterprise/mdopoverview.mspx" TargetMode="External"/><Relationship Id="rId27" Type="http://schemas.openxmlformats.org/officeDocument/2006/relationships/hyperlink" Target="http://www.microsoft.com/licensing/sa/benefits/cer.mspx" TargetMode="External"/><Relationship Id="rId30" Type="http://schemas.openxmlformats.org/officeDocument/2006/relationships/image" Target="media/image7.png"/><Relationship Id="rId35" Type="http://schemas.openxmlformats.org/officeDocument/2006/relationships/hyperlink" Target="http://www.microsoft.com/sql/howtobuy/default.mspx" TargetMode="External"/><Relationship Id="rId43" Type="http://schemas.openxmlformats.org/officeDocument/2006/relationships/hyperlink" Target="http://www.microsoft.com/sql/default.mspx"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icrosoft.com/sql/evaluation/compare/tco.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miduml\LOCALS~1\Temp\Temporary%20Directory%201%20for%20SQL_Whitepaper_Kit.zip\SQL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3612-8C13-4BBE-A810-F2D3846C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SQL_White_Paper_Template.dotx</Template>
  <TotalTime>0</TotalTime>
  <Pages>18</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32531</CharactersWithSpaces>
  <SharedDoc>false</SharedDoc>
  <HLinks>
    <vt:vector size="120" baseType="variant">
      <vt:variant>
        <vt:i4>6225965</vt:i4>
      </vt:variant>
      <vt:variant>
        <vt:i4>102</vt:i4>
      </vt:variant>
      <vt:variant>
        <vt:i4>0</vt:i4>
      </vt:variant>
      <vt:variant>
        <vt:i4>5</vt:i4>
      </vt:variant>
      <vt:variant>
        <vt:lpwstr>mailto:sqlfback@microsoft.com?subject=White%20Paper%20Feedback:%20%5bTitle%20of%20white%20paper%5d</vt:lpwstr>
      </vt:variant>
      <vt:variant>
        <vt:lpwstr/>
      </vt:variant>
      <vt:variant>
        <vt:i4>3866735</vt:i4>
      </vt:variant>
      <vt:variant>
        <vt:i4>99</vt:i4>
      </vt:variant>
      <vt:variant>
        <vt:i4>0</vt:i4>
      </vt:variant>
      <vt:variant>
        <vt:i4>5</vt:i4>
      </vt:variant>
      <vt:variant>
        <vt:lpwstr>http://msdn2.microsoft.com/en-us/library/bb418491.aspx</vt:lpwstr>
      </vt:variant>
      <vt:variant>
        <vt:lpwstr/>
      </vt:variant>
      <vt:variant>
        <vt:i4>6619252</vt:i4>
      </vt:variant>
      <vt:variant>
        <vt:i4>93</vt:i4>
      </vt:variant>
      <vt:variant>
        <vt:i4>0</vt:i4>
      </vt:variant>
      <vt:variant>
        <vt:i4>5</vt:i4>
      </vt:variant>
      <vt:variant>
        <vt:lpwstr>http://technetweb/partners/article.mht</vt:lpwstr>
      </vt:variant>
      <vt:variant>
        <vt:lpwstr/>
      </vt:variant>
      <vt:variant>
        <vt:i4>3801192</vt:i4>
      </vt:variant>
      <vt:variant>
        <vt:i4>90</vt:i4>
      </vt:variant>
      <vt:variant>
        <vt:i4>0</vt:i4>
      </vt:variant>
      <vt:variant>
        <vt:i4>5</vt:i4>
      </vt:variant>
      <vt:variant>
        <vt:lpwstr>http://mtpg/online/guidelines/graphics.aspx</vt:lpwstr>
      </vt:variant>
      <vt:variant>
        <vt:lpwstr/>
      </vt:variant>
      <vt:variant>
        <vt:i4>4849664</vt:i4>
      </vt:variant>
      <vt:variant>
        <vt:i4>87</vt:i4>
      </vt:variant>
      <vt:variant>
        <vt:i4>0</vt:i4>
      </vt:variant>
      <vt:variant>
        <vt:i4>5</vt:i4>
      </vt:variant>
      <vt:variant>
        <vt:lpwstr>http://www.microsoft.com/sql/bi/ProjectREAL/</vt:lpwstr>
      </vt:variant>
      <vt:variant>
        <vt:lpwstr/>
      </vt:variant>
      <vt:variant>
        <vt:i4>1179707</vt:i4>
      </vt:variant>
      <vt:variant>
        <vt:i4>80</vt:i4>
      </vt:variant>
      <vt:variant>
        <vt:i4>0</vt:i4>
      </vt:variant>
      <vt:variant>
        <vt:i4>5</vt:i4>
      </vt:variant>
      <vt:variant>
        <vt:lpwstr/>
      </vt:variant>
      <vt:variant>
        <vt:lpwstr>_Toc115690621</vt:lpwstr>
      </vt:variant>
      <vt:variant>
        <vt:i4>1179707</vt:i4>
      </vt:variant>
      <vt:variant>
        <vt:i4>74</vt:i4>
      </vt:variant>
      <vt:variant>
        <vt:i4>0</vt:i4>
      </vt:variant>
      <vt:variant>
        <vt:i4>5</vt:i4>
      </vt:variant>
      <vt:variant>
        <vt:lpwstr/>
      </vt:variant>
      <vt:variant>
        <vt:lpwstr>_Toc115690620</vt:lpwstr>
      </vt:variant>
      <vt:variant>
        <vt:i4>1114171</vt:i4>
      </vt:variant>
      <vt:variant>
        <vt:i4>68</vt:i4>
      </vt:variant>
      <vt:variant>
        <vt:i4>0</vt:i4>
      </vt:variant>
      <vt:variant>
        <vt:i4>5</vt:i4>
      </vt:variant>
      <vt:variant>
        <vt:lpwstr/>
      </vt:variant>
      <vt:variant>
        <vt:lpwstr>_Toc115690619</vt:lpwstr>
      </vt:variant>
      <vt:variant>
        <vt:i4>1114171</vt:i4>
      </vt:variant>
      <vt:variant>
        <vt:i4>62</vt:i4>
      </vt:variant>
      <vt:variant>
        <vt:i4>0</vt:i4>
      </vt:variant>
      <vt:variant>
        <vt:i4>5</vt:i4>
      </vt:variant>
      <vt:variant>
        <vt:lpwstr/>
      </vt:variant>
      <vt:variant>
        <vt:lpwstr>_Toc115690618</vt:lpwstr>
      </vt:variant>
      <vt:variant>
        <vt:i4>1114171</vt:i4>
      </vt:variant>
      <vt:variant>
        <vt:i4>56</vt:i4>
      </vt:variant>
      <vt:variant>
        <vt:i4>0</vt:i4>
      </vt:variant>
      <vt:variant>
        <vt:i4>5</vt:i4>
      </vt:variant>
      <vt:variant>
        <vt:lpwstr/>
      </vt:variant>
      <vt:variant>
        <vt:lpwstr>_Toc115690617</vt:lpwstr>
      </vt:variant>
      <vt:variant>
        <vt:i4>1114171</vt:i4>
      </vt:variant>
      <vt:variant>
        <vt:i4>50</vt:i4>
      </vt:variant>
      <vt:variant>
        <vt:i4>0</vt:i4>
      </vt:variant>
      <vt:variant>
        <vt:i4>5</vt:i4>
      </vt:variant>
      <vt:variant>
        <vt:lpwstr/>
      </vt:variant>
      <vt:variant>
        <vt:lpwstr>_Toc115690616</vt:lpwstr>
      </vt:variant>
      <vt:variant>
        <vt:i4>1114171</vt:i4>
      </vt:variant>
      <vt:variant>
        <vt:i4>44</vt:i4>
      </vt:variant>
      <vt:variant>
        <vt:i4>0</vt:i4>
      </vt:variant>
      <vt:variant>
        <vt:i4>5</vt:i4>
      </vt:variant>
      <vt:variant>
        <vt:lpwstr/>
      </vt:variant>
      <vt:variant>
        <vt:lpwstr>_Toc115690615</vt:lpwstr>
      </vt:variant>
      <vt:variant>
        <vt:i4>1114171</vt:i4>
      </vt:variant>
      <vt:variant>
        <vt:i4>38</vt:i4>
      </vt:variant>
      <vt:variant>
        <vt:i4>0</vt:i4>
      </vt:variant>
      <vt:variant>
        <vt:i4>5</vt:i4>
      </vt:variant>
      <vt:variant>
        <vt:lpwstr/>
      </vt:variant>
      <vt:variant>
        <vt:lpwstr>_Toc115690614</vt:lpwstr>
      </vt:variant>
      <vt:variant>
        <vt:i4>1114171</vt:i4>
      </vt:variant>
      <vt:variant>
        <vt:i4>32</vt:i4>
      </vt:variant>
      <vt:variant>
        <vt:i4>0</vt:i4>
      </vt:variant>
      <vt:variant>
        <vt:i4>5</vt:i4>
      </vt:variant>
      <vt:variant>
        <vt:lpwstr/>
      </vt:variant>
      <vt:variant>
        <vt:lpwstr>_Toc115690613</vt:lpwstr>
      </vt:variant>
      <vt:variant>
        <vt:i4>1114171</vt:i4>
      </vt:variant>
      <vt:variant>
        <vt:i4>26</vt:i4>
      </vt:variant>
      <vt:variant>
        <vt:i4>0</vt:i4>
      </vt:variant>
      <vt:variant>
        <vt:i4>5</vt:i4>
      </vt:variant>
      <vt:variant>
        <vt:lpwstr/>
      </vt:variant>
      <vt:variant>
        <vt:lpwstr>_Toc115690612</vt:lpwstr>
      </vt:variant>
      <vt:variant>
        <vt:i4>1114171</vt:i4>
      </vt:variant>
      <vt:variant>
        <vt:i4>20</vt:i4>
      </vt:variant>
      <vt:variant>
        <vt:i4>0</vt:i4>
      </vt:variant>
      <vt:variant>
        <vt:i4>5</vt:i4>
      </vt:variant>
      <vt:variant>
        <vt:lpwstr/>
      </vt:variant>
      <vt:variant>
        <vt:lpwstr>_Toc115690611</vt:lpwstr>
      </vt:variant>
      <vt:variant>
        <vt:i4>1114171</vt:i4>
      </vt:variant>
      <vt:variant>
        <vt:i4>14</vt:i4>
      </vt:variant>
      <vt:variant>
        <vt:i4>0</vt:i4>
      </vt:variant>
      <vt:variant>
        <vt:i4>5</vt:i4>
      </vt:variant>
      <vt:variant>
        <vt:lpwstr/>
      </vt:variant>
      <vt:variant>
        <vt:lpwstr>_Toc115690610</vt:lpwstr>
      </vt:variant>
      <vt:variant>
        <vt:i4>1048635</vt:i4>
      </vt:variant>
      <vt:variant>
        <vt:i4>8</vt:i4>
      </vt:variant>
      <vt:variant>
        <vt:i4>0</vt:i4>
      </vt:variant>
      <vt:variant>
        <vt:i4>5</vt:i4>
      </vt:variant>
      <vt:variant>
        <vt:lpwstr/>
      </vt:variant>
      <vt:variant>
        <vt:lpwstr>_Toc115690609</vt:lpwstr>
      </vt:variant>
      <vt:variant>
        <vt:i4>1048635</vt:i4>
      </vt:variant>
      <vt:variant>
        <vt:i4>2</vt:i4>
      </vt:variant>
      <vt:variant>
        <vt:i4>0</vt:i4>
      </vt:variant>
      <vt:variant>
        <vt:i4>5</vt:i4>
      </vt:variant>
      <vt:variant>
        <vt:lpwstr/>
      </vt:variant>
      <vt:variant>
        <vt:lpwstr>_Toc115690608</vt:lpwstr>
      </vt:variant>
      <vt:variant>
        <vt:i4>1704052</vt:i4>
      </vt:variant>
      <vt:variant>
        <vt:i4>13492</vt:i4>
      </vt:variant>
      <vt:variant>
        <vt:i4>1026</vt:i4>
      </vt:variant>
      <vt:variant>
        <vt:i4>1</vt:i4>
      </vt:variant>
      <vt:variant>
        <vt:lpwstr>../FromArt/ProjectREALCustComp_Fig01.gif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2005-09-21T12:42:00Z</cp:lastPrinted>
  <dcterms:created xsi:type="dcterms:W3CDTF">2007-09-21T16:39:00Z</dcterms:created>
  <dcterms:modified xsi:type="dcterms:W3CDTF">2007-10-24T16:46:00Z</dcterms:modified>
</cp:coreProperties>
</file>