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2A" w:rsidRPr="00BC772D" w:rsidRDefault="00F3732A" w:rsidP="00BC772D">
      <w:pPr>
        <w:spacing w:line="240" w:lineRule="auto"/>
        <w:jc w:val="center"/>
        <w:rPr>
          <w:sz w:val="24"/>
          <w:szCs w:val="24"/>
        </w:rPr>
      </w:pPr>
      <w:r w:rsidRPr="00690F24">
        <w:rPr>
          <w:sz w:val="28"/>
          <w:szCs w:val="28"/>
        </w:rPr>
        <w:t>Microsoft</w:t>
      </w:r>
      <w:r w:rsidR="003F04FC">
        <w:rPr>
          <w:sz w:val="28"/>
          <w:szCs w:val="28"/>
        </w:rPr>
        <w:t xml:space="preserve"> Exchange Hosted</w:t>
      </w:r>
      <w:r w:rsidR="00E46AE5">
        <w:rPr>
          <w:sz w:val="28"/>
          <w:szCs w:val="28"/>
        </w:rPr>
        <w:t xml:space="preserve"> Archive</w:t>
      </w:r>
      <w:r w:rsidR="003F04FC">
        <w:rPr>
          <w:sz w:val="28"/>
          <w:szCs w:val="28"/>
        </w:rPr>
        <w:t xml:space="preserve"> </w:t>
      </w:r>
      <w:r w:rsidRPr="00690F24">
        <w:rPr>
          <w:sz w:val="28"/>
          <w:szCs w:val="28"/>
        </w:rPr>
        <w:t>Service Level Agreement (SLA)</w:t>
      </w:r>
    </w:p>
    <w:p w:rsidR="00F3732A" w:rsidRPr="00BC772D" w:rsidRDefault="00F3732A" w:rsidP="00BC772D">
      <w:pPr>
        <w:spacing w:line="240" w:lineRule="auto"/>
        <w:jc w:val="center"/>
        <w:rPr>
          <w:sz w:val="24"/>
          <w:szCs w:val="24"/>
        </w:rPr>
      </w:pPr>
    </w:p>
    <w:p w:rsidR="00F3732A" w:rsidRDefault="00F3732A" w:rsidP="00BC772D">
      <w:pPr>
        <w:pStyle w:val="ListParagraph"/>
        <w:numPr>
          <w:ilvl w:val="0"/>
          <w:numId w:val="1"/>
        </w:numPr>
        <w:spacing w:line="240" w:lineRule="auto"/>
      </w:pPr>
      <w:r>
        <w:t xml:space="preserve">Standard terms applicable to all </w:t>
      </w:r>
      <w:r w:rsidR="00361166">
        <w:t xml:space="preserve">Service Levels </w:t>
      </w:r>
      <w:r>
        <w:t>outlined herein:</w:t>
      </w:r>
    </w:p>
    <w:p w:rsidR="00F3732A" w:rsidRDefault="00F3732A" w:rsidP="00BC772D">
      <w:pPr>
        <w:pStyle w:val="ListParagraph"/>
        <w:spacing w:line="240" w:lineRule="auto"/>
      </w:pPr>
    </w:p>
    <w:p w:rsidR="00F3732A" w:rsidRDefault="00F3732A" w:rsidP="00ED0E33">
      <w:pPr>
        <w:pStyle w:val="ListParagraph"/>
        <w:numPr>
          <w:ilvl w:val="1"/>
          <w:numId w:val="1"/>
        </w:numPr>
        <w:spacing w:line="240" w:lineRule="auto"/>
      </w:pPr>
      <w:r>
        <w:t>Definitions</w:t>
      </w:r>
    </w:p>
    <w:p w:rsidR="008E2C17" w:rsidRDefault="008E2C17" w:rsidP="00370A55">
      <w:pPr>
        <w:pStyle w:val="ListParagraph"/>
        <w:numPr>
          <w:ilvl w:val="2"/>
          <w:numId w:val="1"/>
        </w:numPr>
      </w:pPr>
      <w:r>
        <w:t>“Claim” means a claim submitted by Customer to Microsoft pursuant to this SLA that a Service Level has not been met and that a Service Credit may be due to Customer.</w:t>
      </w:r>
    </w:p>
    <w:p w:rsidR="00F3732A" w:rsidRDefault="00F3732A" w:rsidP="00370A55">
      <w:pPr>
        <w:pStyle w:val="ListParagraph"/>
        <w:numPr>
          <w:ilvl w:val="2"/>
          <w:numId w:val="1"/>
        </w:numPr>
      </w:pPr>
      <w:r>
        <w:t xml:space="preserve">“Customer” refers to </w:t>
      </w:r>
      <w:r w:rsidR="00160CAC">
        <w:t xml:space="preserve">the </w:t>
      </w:r>
      <w:r>
        <w:t>organization that has signed a</w:t>
      </w:r>
      <w:r w:rsidR="003C5E92">
        <w:t xml:space="preserve"> </w:t>
      </w:r>
      <w:r w:rsidR="003C5E92" w:rsidRPr="00AA45CC">
        <w:t xml:space="preserve">volume licensing agreement </w:t>
      </w:r>
      <w:r w:rsidR="00160CAC">
        <w:t xml:space="preserve">(“Agreement”) </w:t>
      </w:r>
      <w:r w:rsidR="00507CB7">
        <w:t xml:space="preserve">under which it has </w:t>
      </w:r>
      <w:r>
        <w:t>purchased</w:t>
      </w:r>
      <w:r w:rsidR="003F04FC">
        <w:t xml:space="preserve"> Exchange Hosted </w:t>
      </w:r>
      <w:r w:rsidR="00B64515">
        <w:t xml:space="preserve">Archive </w:t>
      </w:r>
      <w:r w:rsidRPr="009408CC">
        <w:t>from Microsoft</w:t>
      </w:r>
      <w:r w:rsidR="00E3417D">
        <w:t>.</w:t>
      </w:r>
    </w:p>
    <w:p w:rsidR="00E3417D" w:rsidRPr="009408CC" w:rsidRDefault="00E3417D" w:rsidP="00E3417D">
      <w:pPr>
        <w:pStyle w:val="ListParagraph"/>
        <w:numPr>
          <w:ilvl w:val="2"/>
          <w:numId w:val="1"/>
        </w:numPr>
      </w:pPr>
      <w:r>
        <w:t xml:space="preserve">“Customer Support” means the services by which </w:t>
      </w:r>
      <w:r w:rsidR="00ED0E33">
        <w:t>Microsoft</w:t>
      </w:r>
      <w:r>
        <w:t xml:space="preserve"> </w:t>
      </w:r>
      <w:r w:rsidR="00803512">
        <w:t>may provide assistance to Customer to resolve</w:t>
      </w:r>
      <w:r>
        <w:t xml:space="preserve"> issues with the Services</w:t>
      </w:r>
      <w:r w:rsidR="00507CB7">
        <w:t>.</w:t>
      </w:r>
    </w:p>
    <w:p w:rsidR="00494149" w:rsidRDefault="00494149" w:rsidP="00E3417D">
      <w:pPr>
        <w:pStyle w:val="ListParagraph"/>
        <w:numPr>
          <w:ilvl w:val="2"/>
          <w:numId w:val="1"/>
        </w:numPr>
      </w:pPr>
      <w:r>
        <w:t>“Incident” means any set of circumstances resulting in a failure to meet a Service Level.</w:t>
      </w:r>
    </w:p>
    <w:p w:rsidR="00F542FE" w:rsidRDefault="00F542FE" w:rsidP="00E3417D">
      <w:pPr>
        <w:pStyle w:val="ListParagraph"/>
        <w:numPr>
          <w:ilvl w:val="2"/>
          <w:numId w:val="1"/>
        </w:numPr>
      </w:pPr>
      <w:r>
        <w:t xml:space="preserve"> </w:t>
      </w:r>
      <w:r w:rsidR="001D607D">
        <w:t>“Microsoft” means the Microsoft entity that signed your Microsoft Online Subscription Agreement.</w:t>
      </w:r>
    </w:p>
    <w:p w:rsidR="00E3417D" w:rsidRDefault="00E3417D" w:rsidP="00E3417D">
      <w:pPr>
        <w:pStyle w:val="ListParagraph"/>
        <w:numPr>
          <w:ilvl w:val="2"/>
          <w:numId w:val="1"/>
        </w:numPr>
      </w:pPr>
      <w:r>
        <w:t xml:space="preserve">“Service” or “Services” refers to the </w:t>
      </w:r>
      <w:r w:rsidR="003F04FC">
        <w:t xml:space="preserve">Exchange Hosted </w:t>
      </w:r>
      <w:r w:rsidR="00B64515">
        <w:t xml:space="preserve">Archive </w:t>
      </w:r>
      <w:r>
        <w:t xml:space="preserve">service </w:t>
      </w:r>
      <w:r w:rsidR="00D72690">
        <w:t>provided to Customer</w:t>
      </w:r>
      <w:r w:rsidR="00803512">
        <w:t xml:space="preserve"> pursuant to the</w:t>
      </w:r>
      <w:r>
        <w:t xml:space="preserve"> </w:t>
      </w:r>
      <w:r w:rsidR="00F542FE">
        <w:t>A</w:t>
      </w:r>
      <w:r>
        <w:t>greement</w:t>
      </w:r>
      <w:r>
        <w:rPr>
          <w:b/>
        </w:rPr>
        <w:t>.</w:t>
      </w:r>
    </w:p>
    <w:p w:rsidR="00BA5B84" w:rsidRPr="00BA5B84" w:rsidRDefault="00E3417D" w:rsidP="00E3417D">
      <w:pPr>
        <w:pStyle w:val="ListParagraph"/>
        <w:numPr>
          <w:ilvl w:val="2"/>
          <w:numId w:val="1"/>
        </w:numPr>
      </w:pPr>
      <w:r w:rsidRPr="009408CC">
        <w:t xml:space="preserve"> </w:t>
      </w:r>
      <w:r w:rsidR="00F3732A" w:rsidRPr="009408CC">
        <w:t xml:space="preserve">“Service </w:t>
      </w:r>
      <w:r>
        <w:t>C</w:t>
      </w:r>
      <w:r w:rsidR="00F3732A" w:rsidRPr="009408CC">
        <w:t xml:space="preserve">redit” is the </w:t>
      </w:r>
      <w:r w:rsidR="00F3732A" w:rsidRPr="009408CC">
        <w:rPr>
          <w:rFonts w:cs="Segoe UI"/>
        </w:rPr>
        <w:t xml:space="preserve">percentage of the monthly service fees for the </w:t>
      </w:r>
      <w:r w:rsidR="00803512">
        <w:rPr>
          <w:rFonts w:cs="Segoe UI"/>
        </w:rPr>
        <w:t>S</w:t>
      </w:r>
      <w:r w:rsidR="00F3732A" w:rsidRPr="009408CC">
        <w:rPr>
          <w:rFonts w:cs="Segoe UI"/>
        </w:rPr>
        <w:t xml:space="preserve">ervice that is </w:t>
      </w:r>
      <w:r w:rsidR="007A3541">
        <w:rPr>
          <w:rFonts w:cs="Segoe UI"/>
        </w:rPr>
        <w:t>credited</w:t>
      </w:r>
      <w:r w:rsidR="007A3541" w:rsidRPr="009408CC">
        <w:rPr>
          <w:rFonts w:cs="Segoe UI"/>
        </w:rPr>
        <w:t xml:space="preserve"> </w:t>
      </w:r>
      <w:r w:rsidR="00F3732A" w:rsidRPr="009408CC">
        <w:rPr>
          <w:rFonts w:cs="Segoe UI"/>
        </w:rPr>
        <w:t xml:space="preserve">to Customer for a validated </w:t>
      </w:r>
      <w:r w:rsidR="007A3541">
        <w:rPr>
          <w:rFonts w:cs="Segoe UI"/>
        </w:rPr>
        <w:t>C</w:t>
      </w:r>
      <w:r w:rsidR="00F3732A" w:rsidRPr="009408CC">
        <w:rPr>
          <w:rFonts w:cs="Segoe UI"/>
        </w:rPr>
        <w:t xml:space="preserve">laim. </w:t>
      </w:r>
    </w:p>
    <w:p w:rsidR="005C16C6" w:rsidRPr="00690F24" w:rsidRDefault="005C16C6" w:rsidP="00E3417D">
      <w:pPr>
        <w:pStyle w:val="ListParagraph"/>
        <w:numPr>
          <w:ilvl w:val="2"/>
          <w:numId w:val="1"/>
        </w:numPr>
      </w:pPr>
      <w:r>
        <w:rPr>
          <w:rFonts w:cs="Segoe UI"/>
        </w:rPr>
        <w:t xml:space="preserve">“Service Level” means </w:t>
      </w:r>
      <w:r w:rsidR="00BA5B84">
        <w:rPr>
          <w:rFonts w:cs="Segoe UI"/>
        </w:rPr>
        <w:t xml:space="preserve">standards </w:t>
      </w:r>
      <w:r w:rsidR="008E2C17">
        <w:rPr>
          <w:rFonts w:cs="Segoe UI"/>
        </w:rPr>
        <w:t xml:space="preserve">Microsoft </w:t>
      </w:r>
      <w:r w:rsidR="001D607D">
        <w:rPr>
          <w:rFonts w:cs="Segoe UI"/>
        </w:rPr>
        <w:t xml:space="preserve">agrees </w:t>
      </w:r>
      <w:r w:rsidR="008E2C17">
        <w:rPr>
          <w:rFonts w:cs="Segoe UI"/>
        </w:rPr>
        <w:t xml:space="preserve">to adhere to and </w:t>
      </w:r>
      <w:r>
        <w:rPr>
          <w:rFonts w:cs="Segoe UI"/>
        </w:rPr>
        <w:t xml:space="preserve">by </w:t>
      </w:r>
      <w:r w:rsidR="00BA5B84">
        <w:rPr>
          <w:rFonts w:cs="Segoe UI"/>
        </w:rPr>
        <w:t xml:space="preserve">which </w:t>
      </w:r>
      <w:r w:rsidR="008E2C17">
        <w:rPr>
          <w:rFonts w:cs="Segoe UI"/>
        </w:rPr>
        <w:t xml:space="preserve">it </w:t>
      </w:r>
      <w:r w:rsidR="00BA5B84">
        <w:rPr>
          <w:rFonts w:cs="Segoe UI"/>
        </w:rPr>
        <w:t>measure</w:t>
      </w:r>
      <w:r w:rsidR="008E2C17">
        <w:rPr>
          <w:rFonts w:cs="Segoe UI"/>
        </w:rPr>
        <w:t>s</w:t>
      </w:r>
      <w:r w:rsidR="00BA5B84">
        <w:rPr>
          <w:rFonts w:cs="Segoe UI"/>
        </w:rPr>
        <w:t xml:space="preserve"> the </w:t>
      </w:r>
      <w:r>
        <w:rPr>
          <w:rFonts w:cs="Segoe UI"/>
        </w:rPr>
        <w:t xml:space="preserve">level of service </w:t>
      </w:r>
      <w:r w:rsidR="00BA5B84">
        <w:rPr>
          <w:rFonts w:cs="Segoe UI"/>
        </w:rPr>
        <w:t xml:space="preserve">it provides as </w:t>
      </w:r>
      <w:r w:rsidR="008E2C17">
        <w:rPr>
          <w:rFonts w:cs="Segoe UI"/>
        </w:rPr>
        <w:t xml:space="preserve">specifically </w:t>
      </w:r>
      <w:r>
        <w:rPr>
          <w:rFonts w:cs="Segoe UI"/>
        </w:rPr>
        <w:t>set forth below.</w:t>
      </w:r>
    </w:p>
    <w:p w:rsidR="00F3732A" w:rsidRPr="00E87CFD" w:rsidRDefault="00F3732A" w:rsidP="00690F24">
      <w:pPr>
        <w:pStyle w:val="ListParagraph"/>
        <w:ind w:left="2160"/>
      </w:pPr>
    </w:p>
    <w:p w:rsidR="007A4CC1" w:rsidRPr="007A4CC1" w:rsidRDefault="008E2C17" w:rsidP="007A4CC1">
      <w:pPr>
        <w:pStyle w:val="ListParagraph"/>
        <w:numPr>
          <w:ilvl w:val="1"/>
          <w:numId w:val="1"/>
        </w:numPr>
        <w:rPr>
          <w:rFonts w:cs="Tahoma"/>
        </w:rPr>
      </w:pPr>
      <w:r>
        <w:rPr>
          <w:rFonts w:cs="Tahoma"/>
        </w:rPr>
        <w:t xml:space="preserve">Service Credit </w:t>
      </w:r>
      <w:r w:rsidR="00F3732A">
        <w:rPr>
          <w:rFonts w:cs="Tahoma"/>
        </w:rPr>
        <w:t>Claims</w:t>
      </w:r>
    </w:p>
    <w:p w:rsidR="00F3732A" w:rsidRPr="007A4CC1" w:rsidRDefault="00372144" w:rsidP="007A4CC1">
      <w:pPr>
        <w:pStyle w:val="ListParagraph"/>
        <w:numPr>
          <w:ilvl w:val="2"/>
          <w:numId w:val="1"/>
        </w:numPr>
        <w:rPr>
          <w:rFonts w:cs="Tahoma"/>
        </w:rPr>
      </w:pPr>
      <w:r w:rsidRPr="007A4CC1">
        <w:rPr>
          <w:rFonts w:cs="Tahoma"/>
        </w:rPr>
        <w:t xml:space="preserve">Microsoft </w:t>
      </w:r>
      <w:r w:rsidR="00F3732A" w:rsidRPr="007A4CC1">
        <w:rPr>
          <w:rFonts w:cs="Segoe UI"/>
        </w:rPr>
        <w:t>provides th</w:t>
      </w:r>
      <w:r w:rsidR="005C16C6" w:rsidRPr="007A4CC1">
        <w:rPr>
          <w:rFonts w:cs="Segoe UI"/>
        </w:rPr>
        <w:t>i</w:t>
      </w:r>
      <w:r w:rsidR="00F3732A" w:rsidRPr="007A4CC1">
        <w:rPr>
          <w:rFonts w:cs="Segoe UI"/>
        </w:rPr>
        <w:t>s SLA subject to the following terms</w:t>
      </w:r>
      <w:r w:rsidR="00787AF2" w:rsidRPr="007A4CC1">
        <w:rPr>
          <w:rFonts w:cs="Segoe UI"/>
        </w:rPr>
        <w:t xml:space="preserve">.  These terms will be fixed for the duration of the </w:t>
      </w:r>
      <w:r w:rsidR="00507CB7" w:rsidRPr="007A4CC1">
        <w:rPr>
          <w:rFonts w:cs="Segoe UI"/>
        </w:rPr>
        <w:t xml:space="preserve">initial term of the </w:t>
      </w:r>
      <w:r w:rsidR="00787AF2" w:rsidRPr="007A4CC1">
        <w:rPr>
          <w:rFonts w:cs="Segoe UI"/>
        </w:rPr>
        <w:t>subscription</w:t>
      </w:r>
      <w:r w:rsidR="003F04FC" w:rsidRPr="007A4CC1">
        <w:rPr>
          <w:rFonts w:cs="Segoe UI"/>
        </w:rPr>
        <w:t>.</w:t>
      </w:r>
      <w:r w:rsidR="00507CB7" w:rsidRPr="007A4CC1">
        <w:rPr>
          <w:rFonts w:cs="Segoe UI"/>
        </w:rPr>
        <w:t xml:space="preserve"> If a subscription is renewed, the version of this SLA that is current at the time the renewal term commences will apply throughout the renewal term.  </w:t>
      </w:r>
      <w:r w:rsidR="00F3732A" w:rsidRPr="007A4CC1">
        <w:rPr>
          <w:rFonts w:cs="Segoe UI"/>
        </w:rPr>
        <w:t>Customer can review the most current version of the SLA and related terms at any time by visitin</w:t>
      </w:r>
      <w:r w:rsidR="007A4CC1">
        <w:rPr>
          <w:rFonts w:cs="Segoe UI"/>
        </w:rPr>
        <w:t xml:space="preserve">g:  </w:t>
      </w:r>
      <w:hyperlink r:id="rId10" w:tgtFrame="_blank" w:history="1">
        <w:r w:rsidR="007A4CC1">
          <w:rPr>
            <w:rStyle w:val="Hyperlink"/>
          </w:rPr>
          <w:t>http://go.microsoft.com/fwlink/?LinkId=157373</w:t>
        </w:r>
      </w:hyperlink>
    </w:p>
    <w:p w:rsidR="00F3732A" w:rsidRDefault="00507CB7" w:rsidP="0008317E">
      <w:pPr>
        <w:pStyle w:val="ListParagraph"/>
        <w:numPr>
          <w:ilvl w:val="2"/>
          <w:numId w:val="1"/>
        </w:numPr>
        <w:rPr>
          <w:rFonts w:cs="Tahoma"/>
        </w:rPr>
      </w:pPr>
      <w:r>
        <w:rPr>
          <w:rFonts w:cs="Tahoma"/>
        </w:rPr>
        <w:t xml:space="preserve">In order to be eligible to submit a Claim with respect to any Incident, the </w:t>
      </w:r>
      <w:r w:rsidR="00F3732A">
        <w:rPr>
          <w:rFonts w:cs="Tahoma"/>
        </w:rPr>
        <w:t xml:space="preserve">Customer must </w:t>
      </w:r>
      <w:r>
        <w:rPr>
          <w:rFonts w:cs="Tahoma"/>
        </w:rPr>
        <w:t xml:space="preserve">first have </w:t>
      </w:r>
      <w:r w:rsidR="00F3732A">
        <w:rPr>
          <w:rFonts w:cs="Tahoma"/>
        </w:rPr>
        <w:t>notif</w:t>
      </w:r>
      <w:r>
        <w:rPr>
          <w:rFonts w:cs="Tahoma"/>
        </w:rPr>
        <w:t>ied</w:t>
      </w:r>
      <w:r w:rsidR="00F3732A">
        <w:rPr>
          <w:rFonts w:cs="Tahoma"/>
        </w:rPr>
        <w:t xml:space="preserve"> Customer Support </w:t>
      </w:r>
      <w:r>
        <w:rPr>
          <w:rFonts w:cs="Tahoma"/>
        </w:rPr>
        <w:t xml:space="preserve">of the </w:t>
      </w:r>
      <w:r w:rsidR="001D607D">
        <w:rPr>
          <w:rFonts w:cs="Tahoma"/>
        </w:rPr>
        <w:t>I</w:t>
      </w:r>
      <w:r>
        <w:rPr>
          <w:rFonts w:cs="Tahoma"/>
        </w:rPr>
        <w:t xml:space="preserve">ncident, </w:t>
      </w:r>
      <w:r w:rsidR="00CF68E9">
        <w:rPr>
          <w:rFonts w:cs="Tahoma"/>
        </w:rPr>
        <w:t>using the procedures set forth by Microsoft</w:t>
      </w:r>
      <w:r>
        <w:rPr>
          <w:rFonts w:cs="Tahoma"/>
        </w:rPr>
        <w:t>,</w:t>
      </w:r>
      <w:r w:rsidR="00CF68E9">
        <w:rPr>
          <w:rFonts w:cs="Tahoma"/>
        </w:rPr>
        <w:t xml:space="preserve"> </w:t>
      </w:r>
      <w:r w:rsidR="00F3732A">
        <w:rPr>
          <w:rFonts w:cs="Tahoma"/>
        </w:rPr>
        <w:t xml:space="preserve">within </w:t>
      </w:r>
      <w:r>
        <w:rPr>
          <w:rFonts w:cs="Tahoma"/>
        </w:rPr>
        <w:t xml:space="preserve">five </w:t>
      </w:r>
      <w:r w:rsidR="00F3732A">
        <w:rPr>
          <w:rFonts w:cs="Tahoma"/>
        </w:rPr>
        <w:t xml:space="preserve">business days </w:t>
      </w:r>
      <w:r w:rsidR="00494149">
        <w:rPr>
          <w:rFonts w:cs="Tahoma"/>
        </w:rPr>
        <w:t xml:space="preserve">following </w:t>
      </w:r>
      <w:r>
        <w:rPr>
          <w:rFonts w:cs="Tahoma"/>
        </w:rPr>
        <w:t xml:space="preserve">the </w:t>
      </w:r>
      <w:r w:rsidR="00303FC8">
        <w:rPr>
          <w:rFonts w:cs="Tahoma"/>
        </w:rPr>
        <w:t>I</w:t>
      </w:r>
      <w:r w:rsidR="00F3732A">
        <w:rPr>
          <w:rFonts w:cs="Tahoma"/>
        </w:rPr>
        <w:t>ncident</w:t>
      </w:r>
      <w:r w:rsidR="00C633E7">
        <w:rPr>
          <w:rFonts w:cs="Tahoma"/>
        </w:rPr>
        <w:t>.</w:t>
      </w:r>
    </w:p>
    <w:p w:rsidR="00880292" w:rsidRDefault="00507CB7" w:rsidP="0008317E">
      <w:pPr>
        <w:pStyle w:val="ListParagraph"/>
        <w:numPr>
          <w:ilvl w:val="2"/>
          <w:numId w:val="1"/>
        </w:numPr>
        <w:rPr>
          <w:rFonts w:cs="Tahoma"/>
        </w:rPr>
      </w:pPr>
      <w:r>
        <w:rPr>
          <w:rFonts w:cs="Tahoma"/>
        </w:rPr>
        <w:t xml:space="preserve">To submit a </w:t>
      </w:r>
      <w:r w:rsidR="001D607D">
        <w:rPr>
          <w:rFonts w:cs="Tahoma"/>
        </w:rPr>
        <w:t>C</w:t>
      </w:r>
      <w:r>
        <w:rPr>
          <w:rFonts w:cs="Tahoma"/>
        </w:rPr>
        <w:t xml:space="preserve">laim, </w:t>
      </w:r>
      <w:r w:rsidR="005120A8">
        <w:rPr>
          <w:rFonts w:cs="Tahoma"/>
        </w:rPr>
        <w:t>Customer m</w:t>
      </w:r>
      <w:r>
        <w:rPr>
          <w:rFonts w:cs="Tahoma"/>
        </w:rPr>
        <w:t xml:space="preserve">ust contact Customer Support and provide notice of its intention to submit a </w:t>
      </w:r>
      <w:r w:rsidR="001D607D">
        <w:rPr>
          <w:rFonts w:cs="Tahoma"/>
        </w:rPr>
        <w:t>C</w:t>
      </w:r>
      <w:r w:rsidR="0071313C">
        <w:rPr>
          <w:rFonts w:cs="Tahoma"/>
        </w:rPr>
        <w:t>laim</w:t>
      </w:r>
      <w:r w:rsidR="004B5937">
        <w:rPr>
          <w:rFonts w:cs="Tahoma"/>
        </w:rPr>
        <w:t xml:space="preserve">.  </w:t>
      </w:r>
      <w:r w:rsidR="005120A8">
        <w:rPr>
          <w:rFonts w:cs="Tahoma"/>
        </w:rPr>
        <w:t xml:space="preserve">Customer must provide </w:t>
      </w:r>
      <w:r w:rsidR="00602D90">
        <w:rPr>
          <w:rFonts w:cs="Tahoma"/>
        </w:rPr>
        <w:t xml:space="preserve">to Customer Support </w:t>
      </w:r>
      <w:r w:rsidR="005120A8">
        <w:rPr>
          <w:rFonts w:cs="Tahoma"/>
        </w:rPr>
        <w:t xml:space="preserve">all reasonable details regarding the </w:t>
      </w:r>
      <w:r w:rsidR="001D607D">
        <w:rPr>
          <w:rFonts w:cs="Tahoma"/>
        </w:rPr>
        <w:t>C</w:t>
      </w:r>
      <w:r w:rsidR="005120A8">
        <w:rPr>
          <w:rFonts w:cs="Tahoma"/>
        </w:rPr>
        <w:t xml:space="preserve">laim, including but not limited to, detailed descriptions of the Incident(s), the duration of the Incidents, the number of affected users and the locations of such users and any attempts made by Customer to </w:t>
      </w:r>
      <w:r w:rsidR="003E7604">
        <w:rPr>
          <w:rFonts w:cs="Tahoma"/>
        </w:rPr>
        <w:t>resolve</w:t>
      </w:r>
      <w:r w:rsidR="005120A8">
        <w:rPr>
          <w:rFonts w:cs="Tahoma"/>
        </w:rPr>
        <w:t xml:space="preserve"> the Incident.</w:t>
      </w:r>
    </w:p>
    <w:p w:rsidR="00F3732A" w:rsidRDefault="00C633E7" w:rsidP="0008317E">
      <w:pPr>
        <w:pStyle w:val="ListParagraph"/>
        <w:numPr>
          <w:ilvl w:val="2"/>
          <w:numId w:val="1"/>
        </w:numPr>
        <w:rPr>
          <w:rFonts w:cs="Tahoma"/>
        </w:rPr>
      </w:pPr>
      <w:r>
        <w:rPr>
          <w:rFonts w:cs="Tahoma"/>
        </w:rPr>
        <w:t xml:space="preserve">In order for Microsoft to consider a </w:t>
      </w:r>
      <w:r w:rsidR="00312C36">
        <w:rPr>
          <w:rFonts w:cs="Tahoma"/>
        </w:rPr>
        <w:t>C</w:t>
      </w:r>
      <w:r>
        <w:rPr>
          <w:rFonts w:cs="Tahoma"/>
        </w:rPr>
        <w:t xml:space="preserve">laim, </w:t>
      </w:r>
      <w:r w:rsidR="00F3732A">
        <w:rPr>
          <w:rFonts w:cs="Tahoma"/>
        </w:rPr>
        <w:t xml:space="preserve">Customer must </w:t>
      </w:r>
      <w:r w:rsidR="005522D2">
        <w:rPr>
          <w:rFonts w:cs="Tahoma"/>
        </w:rPr>
        <w:t>submit</w:t>
      </w:r>
      <w:r w:rsidR="00F3732A">
        <w:rPr>
          <w:rFonts w:cs="Tahoma"/>
        </w:rPr>
        <w:t xml:space="preserve"> </w:t>
      </w:r>
      <w:r>
        <w:rPr>
          <w:rFonts w:cs="Tahoma"/>
        </w:rPr>
        <w:t>the</w:t>
      </w:r>
      <w:r w:rsidR="00F3732A">
        <w:rPr>
          <w:rFonts w:cs="Tahoma"/>
        </w:rPr>
        <w:t xml:space="preserve"> </w:t>
      </w:r>
      <w:r w:rsidR="00312C36">
        <w:rPr>
          <w:rFonts w:cs="Tahoma"/>
        </w:rPr>
        <w:t>C</w:t>
      </w:r>
      <w:r w:rsidR="00F3732A">
        <w:rPr>
          <w:rFonts w:cs="Tahoma"/>
        </w:rPr>
        <w:t>laim</w:t>
      </w:r>
      <w:r>
        <w:rPr>
          <w:rFonts w:cs="Tahoma"/>
        </w:rPr>
        <w:t xml:space="preserve">, including </w:t>
      </w:r>
      <w:r w:rsidRPr="00C633E7">
        <w:rPr>
          <w:rFonts w:cs="Tahoma"/>
        </w:rPr>
        <w:t xml:space="preserve">sufficient evidence to support </w:t>
      </w:r>
      <w:r>
        <w:rPr>
          <w:rFonts w:cs="Tahoma"/>
        </w:rPr>
        <w:t xml:space="preserve">the </w:t>
      </w:r>
      <w:r w:rsidR="00312C36">
        <w:rPr>
          <w:rFonts w:cs="Tahoma"/>
        </w:rPr>
        <w:t>C</w:t>
      </w:r>
      <w:r w:rsidRPr="00C633E7">
        <w:rPr>
          <w:rFonts w:cs="Tahoma"/>
        </w:rPr>
        <w:t>laim</w:t>
      </w:r>
      <w:r>
        <w:rPr>
          <w:rFonts w:cs="Tahoma"/>
        </w:rPr>
        <w:t>,</w:t>
      </w:r>
      <w:r w:rsidR="00F3732A">
        <w:rPr>
          <w:rFonts w:cs="Tahoma"/>
        </w:rPr>
        <w:t xml:space="preserve"> by the end of the </w:t>
      </w:r>
      <w:r w:rsidR="00A92087">
        <w:rPr>
          <w:rFonts w:cs="Tahoma"/>
        </w:rPr>
        <w:t xml:space="preserve">month </w:t>
      </w:r>
      <w:r w:rsidR="00F3732A">
        <w:rPr>
          <w:rFonts w:cs="Tahoma"/>
        </w:rPr>
        <w:t xml:space="preserve">following </w:t>
      </w:r>
      <w:r w:rsidR="00A92087">
        <w:rPr>
          <w:rFonts w:cs="Tahoma"/>
        </w:rPr>
        <w:t xml:space="preserve">the </w:t>
      </w:r>
      <w:r w:rsidR="00F3732A">
        <w:rPr>
          <w:rFonts w:cs="Tahoma"/>
        </w:rPr>
        <w:t xml:space="preserve">month in which </w:t>
      </w:r>
      <w:r w:rsidR="00312C36">
        <w:rPr>
          <w:rFonts w:cs="Tahoma"/>
        </w:rPr>
        <w:t xml:space="preserve">the </w:t>
      </w:r>
      <w:r w:rsidR="00735791">
        <w:rPr>
          <w:rFonts w:cs="Tahoma"/>
        </w:rPr>
        <w:t>I</w:t>
      </w:r>
      <w:r w:rsidR="00F3732A">
        <w:rPr>
          <w:rFonts w:cs="Tahoma"/>
        </w:rPr>
        <w:t xml:space="preserve">ncident </w:t>
      </w:r>
      <w:r w:rsidR="00880292">
        <w:rPr>
          <w:rFonts w:cs="Tahoma"/>
        </w:rPr>
        <w:t xml:space="preserve">which is the subject of the Claim </w:t>
      </w:r>
      <w:r w:rsidR="00F3732A">
        <w:rPr>
          <w:rFonts w:cs="Tahoma"/>
        </w:rPr>
        <w:t>occurs</w:t>
      </w:r>
      <w:r>
        <w:rPr>
          <w:rFonts w:cs="Tahoma"/>
        </w:rPr>
        <w:t>.</w:t>
      </w:r>
      <w:r w:rsidR="00F3732A">
        <w:rPr>
          <w:rFonts w:cs="Tahoma"/>
        </w:rPr>
        <w:t xml:space="preserve"> </w:t>
      </w:r>
    </w:p>
    <w:p w:rsidR="00F3732A" w:rsidRPr="00290DE4" w:rsidRDefault="00372144" w:rsidP="0008317E">
      <w:pPr>
        <w:pStyle w:val="ListParagraph"/>
        <w:numPr>
          <w:ilvl w:val="2"/>
          <w:numId w:val="1"/>
        </w:numPr>
        <w:rPr>
          <w:rFonts w:cs="Tahoma"/>
        </w:rPr>
      </w:pPr>
      <w:r>
        <w:rPr>
          <w:rFonts w:cs="Tahoma"/>
        </w:rPr>
        <w:t>Microsoft</w:t>
      </w:r>
      <w:r w:rsidRPr="005B60BD">
        <w:rPr>
          <w:rFonts w:cs="Tahoma"/>
        </w:rPr>
        <w:t xml:space="preserve"> </w:t>
      </w:r>
      <w:r w:rsidR="00F3732A" w:rsidRPr="005B60BD">
        <w:rPr>
          <w:rFonts w:cs="Segoe UI"/>
        </w:rPr>
        <w:t>will use all information reasonably available</w:t>
      </w:r>
      <w:r w:rsidR="002A08A1">
        <w:rPr>
          <w:rFonts w:cs="Segoe UI"/>
        </w:rPr>
        <w:t xml:space="preserve"> to it</w:t>
      </w:r>
      <w:r w:rsidR="00F3732A" w:rsidRPr="005B60BD">
        <w:rPr>
          <w:rFonts w:cs="Segoe UI"/>
        </w:rPr>
        <w:t xml:space="preserve"> to validate </w:t>
      </w:r>
      <w:r w:rsidR="00312C36">
        <w:rPr>
          <w:rFonts w:cs="Segoe UI"/>
        </w:rPr>
        <w:t>C</w:t>
      </w:r>
      <w:r w:rsidR="00F3732A" w:rsidRPr="005B60BD">
        <w:rPr>
          <w:rFonts w:cs="Segoe UI"/>
        </w:rPr>
        <w:t xml:space="preserve">laims </w:t>
      </w:r>
      <w:r w:rsidR="00F3732A">
        <w:rPr>
          <w:rFonts w:cs="Segoe UI"/>
        </w:rPr>
        <w:t xml:space="preserve">and make a good faith judgment </w:t>
      </w:r>
      <w:r w:rsidR="00F3732A" w:rsidRPr="005B60BD">
        <w:rPr>
          <w:rFonts w:cs="Segoe UI"/>
        </w:rPr>
        <w:t xml:space="preserve">on </w:t>
      </w:r>
      <w:r>
        <w:rPr>
          <w:rFonts w:cs="Segoe UI"/>
        </w:rPr>
        <w:t xml:space="preserve">whether </w:t>
      </w:r>
      <w:r w:rsidR="005C16C6">
        <w:rPr>
          <w:rFonts w:cs="Segoe UI"/>
        </w:rPr>
        <w:t>the SLA</w:t>
      </w:r>
      <w:r>
        <w:rPr>
          <w:rFonts w:cs="Segoe UI"/>
        </w:rPr>
        <w:t xml:space="preserve"> </w:t>
      </w:r>
      <w:r w:rsidR="002A08A1">
        <w:rPr>
          <w:rFonts w:cs="Segoe UI"/>
        </w:rPr>
        <w:t>and Service Levels apply</w:t>
      </w:r>
      <w:r>
        <w:rPr>
          <w:rFonts w:cs="Segoe UI"/>
        </w:rPr>
        <w:t xml:space="preserve"> to </w:t>
      </w:r>
      <w:r w:rsidR="004B5937">
        <w:rPr>
          <w:rFonts w:cs="Segoe UI"/>
        </w:rPr>
        <w:t xml:space="preserve">the </w:t>
      </w:r>
      <w:r w:rsidR="00312C36">
        <w:rPr>
          <w:rFonts w:cs="Segoe UI"/>
        </w:rPr>
        <w:t>C</w:t>
      </w:r>
      <w:r>
        <w:rPr>
          <w:rFonts w:cs="Segoe UI"/>
        </w:rPr>
        <w:t xml:space="preserve">laim. </w:t>
      </w:r>
    </w:p>
    <w:p w:rsidR="00F3732A" w:rsidRPr="0008317E" w:rsidRDefault="00F3732A" w:rsidP="0008317E">
      <w:pPr>
        <w:pStyle w:val="ListParagraph"/>
        <w:numPr>
          <w:ilvl w:val="2"/>
          <w:numId w:val="1"/>
        </w:numPr>
        <w:rPr>
          <w:rFonts w:cs="Tahoma"/>
        </w:rPr>
      </w:pPr>
      <w:r>
        <w:rPr>
          <w:rFonts w:cs="Segoe UI"/>
        </w:rPr>
        <w:lastRenderedPageBreak/>
        <w:t xml:space="preserve">In the event that more than one </w:t>
      </w:r>
      <w:r w:rsidR="005C16C6">
        <w:rPr>
          <w:rFonts w:cs="Segoe UI"/>
        </w:rPr>
        <w:t xml:space="preserve">Service Level is not met because of </w:t>
      </w:r>
      <w:r>
        <w:rPr>
          <w:rFonts w:cs="Segoe UI"/>
        </w:rPr>
        <w:t xml:space="preserve">the same </w:t>
      </w:r>
      <w:r w:rsidR="00735791">
        <w:rPr>
          <w:rFonts w:cs="Segoe UI"/>
        </w:rPr>
        <w:t>I</w:t>
      </w:r>
      <w:r w:rsidR="005C16C6">
        <w:rPr>
          <w:rFonts w:cs="Segoe UI"/>
        </w:rPr>
        <w:t>ncident</w:t>
      </w:r>
      <w:r>
        <w:rPr>
          <w:rFonts w:cs="Segoe UI"/>
        </w:rPr>
        <w:t xml:space="preserve"> Customer</w:t>
      </w:r>
      <w:r w:rsidR="005C16C6">
        <w:rPr>
          <w:rFonts w:cs="Segoe UI"/>
        </w:rPr>
        <w:t xml:space="preserve"> must</w:t>
      </w:r>
      <w:r>
        <w:rPr>
          <w:rFonts w:cs="Segoe UI"/>
        </w:rPr>
        <w:t xml:space="preserve"> choos</w:t>
      </w:r>
      <w:r w:rsidR="005C16C6">
        <w:rPr>
          <w:rFonts w:cs="Segoe UI"/>
        </w:rPr>
        <w:t>e</w:t>
      </w:r>
      <w:r>
        <w:rPr>
          <w:rFonts w:cs="Segoe UI"/>
        </w:rPr>
        <w:t xml:space="preserve"> </w:t>
      </w:r>
      <w:r w:rsidR="005C16C6">
        <w:rPr>
          <w:rFonts w:cs="Segoe UI"/>
        </w:rPr>
        <w:t xml:space="preserve">only one Service Level under which a </w:t>
      </w:r>
      <w:r w:rsidR="00312C36">
        <w:rPr>
          <w:rFonts w:cs="Segoe UI"/>
        </w:rPr>
        <w:t>C</w:t>
      </w:r>
      <w:r>
        <w:rPr>
          <w:rFonts w:cs="Segoe UI"/>
        </w:rPr>
        <w:t>laim</w:t>
      </w:r>
      <w:r w:rsidR="005C16C6">
        <w:rPr>
          <w:rFonts w:cs="Segoe UI"/>
        </w:rPr>
        <w:t xml:space="preserve"> may be made based on that </w:t>
      </w:r>
      <w:r w:rsidR="00735791">
        <w:rPr>
          <w:rFonts w:cs="Segoe UI"/>
        </w:rPr>
        <w:t>I</w:t>
      </w:r>
      <w:r w:rsidR="005C16C6">
        <w:rPr>
          <w:rFonts w:cs="Segoe UI"/>
        </w:rPr>
        <w:t>ncident</w:t>
      </w:r>
      <w:r>
        <w:rPr>
          <w:rFonts w:cs="Segoe UI"/>
        </w:rPr>
        <w:t xml:space="preserve">, and no other </w:t>
      </w:r>
      <w:r w:rsidR="00312C36">
        <w:rPr>
          <w:rFonts w:cs="Segoe UI"/>
        </w:rPr>
        <w:t>C</w:t>
      </w:r>
      <w:r>
        <w:rPr>
          <w:rFonts w:cs="Segoe UI"/>
        </w:rPr>
        <w:t xml:space="preserve">laim </w:t>
      </w:r>
      <w:r w:rsidR="00E30F2F">
        <w:rPr>
          <w:rFonts w:cs="Segoe UI"/>
        </w:rPr>
        <w:t xml:space="preserve">under any other Service Level </w:t>
      </w:r>
      <w:r>
        <w:rPr>
          <w:rFonts w:cs="Segoe UI"/>
        </w:rPr>
        <w:t xml:space="preserve">will be </w:t>
      </w:r>
      <w:r w:rsidR="009C170A">
        <w:rPr>
          <w:rFonts w:cs="Segoe UI"/>
        </w:rPr>
        <w:t xml:space="preserve">accepted </w:t>
      </w:r>
      <w:r>
        <w:rPr>
          <w:rFonts w:cs="Segoe UI"/>
        </w:rPr>
        <w:t xml:space="preserve">for that </w:t>
      </w:r>
      <w:r w:rsidR="00735791">
        <w:rPr>
          <w:rFonts w:cs="Segoe UI"/>
        </w:rPr>
        <w:t>I</w:t>
      </w:r>
      <w:r w:rsidR="005C16C6">
        <w:rPr>
          <w:rFonts w:cs="Segoe UI"/>
        </w:rPr>
        <w:t xml:space="preserve">ncident. </w:t>
      </w:r>
    </w:p>
    <w:p w:rsidR="00F3732A" w:rsidRPr="005B60BD" w:rsidRDefault="00F3732A" w:rsidP="0008317E">
      <w:pPr>
        <w:pStyle w:val="ListParagraph"/>
        <w:ind w:left="2160"/>
        <w:rPr>
          <w:rFonts w:cs="Tahoma"/>
        </w:rPr>
      </w:pPr>
    </w:p>
    <w:p w:rsidR="007A4CC1" w:rsidRPr="007A4CC1" w:rsidRDefault="00F3732A" w:rsidP="007A4CC1">
      <w:pPr>
        <w:pStyle w:val="ListParagraph"/>
        <w:numPr>
          <w:ilvl w:val="1"/>
          <w:numId w:val="1"/>
        </w:numPr>
        <w:rPr>
          <w:rFonts w:asciiTheme="minorHAnsi" w:hAnsiTheme="minorHAnsi" w:cs="Tahoma"/>
        </w:rPr>
      </w:pPr>
      <w:r w:rsidRPr="007A4CC1">
        <w:rPr>
          <w:rFonts w:asciiTheme="minorHAnsi" w:hAnsiTheme="minorHAnsi" w:cs="Tahoma"/>
        </w:rPr>
        <w:t xml:space="preserve">Configuration </w:t>
      </w:r>
      <w:r w:rsidR="000E658B" w:rsidRPr="007A4CC1">
        <w:rPr>
          <w:rFonts w:asciiTheme="minorHAnsi" w:hAnsiTheme="minorHAnsi" w:cs="Tahoma"/>
        </w:rPr>
        <w:t xml:space="preserve">Requirements </w:t>
      </w:r>
      <w:r w:rsidRPr="007A4CC1">
        <w:rPr>
          <w:rFonts w:asciiTheme="minorHAnsi" w:hAnsiTheme="minorHAnsi" w:cs="Tahoma"/>
        </w:rPr>
        <w:t xml:space="preserve">and </w:t>
      </w:r>
      <w:r w:rsidR="000E658B" w:rsidRPr="007A4CC1">
        <w:rPr>
          <w:rFonts w:asciiTheme="minorHAnsi" w:hAnsiTheme="minorHAnsi" w:cs="Tahoma"/>
        </w:rPr>
        <w:t>Acceptable Use</w:t>
      </w:r>
    </w:p>
    <w:p w:rsidR="00AA6FE7" w:rsidRPr="007A4CC1" w:rsidRDefault="00F3732A" w:rsidP="007A4CC1">
      <w:pPr>
        <w:pStyle w:val="ListParagraph"/>
        <w:numPr>
          <w:ilvl w:val="2"/>
          <w:numId w:val="1"/>
        </w:numPr>
        <w:rPr>
          <w:rFonts w:asciiTheme="minorHAnsi" w:hAnsiTheme="minorHAnsi" w:cs="Tahoma"/>
        </w:rPr>
      </w:pPr>
      <w:r w:rsidRPr="007A4CC1">
        <w:rPr>
          <w:rFonts w:asciiTheme="minorHAnsi" w:hAnsiTheme="minorHAnsi" w:cs="Tahoma"/>
        </w:rPr>
        <w:t>Customers must adhere to any required configurations</w:t>
      </w:r>
      <w:r w:rsidR="000E658B" w:rsidRPr="007A4CC1">
        <w:rPr>
          <w:rFonts w:asciiTheme="minorHAnsi" w:hAnsiTheme="minorHAnsi" w:cs="Tahoma"/>
        </w:rPr>
        <w:t>,</w:t>
      </w:r>
      <w:r w:rsidRPr="007A4CC1">
        <w:rPr>
          <w:rFonts w:asciiTheme="minorHAnsi" w:hAnsiTheme="minorHAnsi" w:cs="Tahoma"/>
        </w:rPr>
        <w:t xml:space="preserve"> </w:t>
      </w:r>
      <w:r w:rsidR="007C0712" w:rsidRPr="007A4CC1">
        <w:rPr>
          <w:rFonts w:asciiTheme="minorHAnsi" w:hAnsiTheme="minorHAnsi" w:cs="Tahoma"/>
        </w:rPr>
        <w:t xml:space="preserve">use </w:t>
      </w:r>
      <w:r w:rsidRPr="007A4CC1">
        <w:rPr>
          <w:rFonts w:asciiTheme="minorHAnsi" w:hAnsiTheme="minorHAnsi" w:cs="Tahoma"/>
        </w:rPr>
        <w:t>supported platforms</w:t>
      </w:r>
      <w:r w:rsidR="000E658B" w:rsidRPr="007A4CC1">
        <w:rPr>
          <w:rFonts w:asciiTheme="minorHAnsi" w:hAnsiTheme="minorHAnsi" w:cs="Tahoma"/>
        </w:rPr>
        <w:t>, and follow any policies for acceptable use</w:t>
      </w:r>
      <w:r w:rsidR="007C0712" w:rsidRPr="007A4CC1">
        <w:rPr>
          <w:rFonts w:asciiTheme="minorHAnsi" w:hAnsiTheme="minorHAnsi" w:cs="Tahoma"/>
        </w:rPr>
        <w:t xml:space="preserve"> found at</w:t>
      </w:r>
      <w:r w:rsidR="003F04FC" w:rsidRPr="007A4CC1">
        <w:rPr>
          <w:rFonts w:asciiTheme="minorHAnsi" w:hAnsiTheme="minorHAnsi" w:cs="Tahoma"/>
        </w:rPr>
        <w:t xml:space="preserve"> </w:t>
      </w:r>
      <w:hyperlink r:id="rId11" w:history="1">
        <w:r w:rsidR="007A4CC1" w:rsidRPr="007A4CC1">
          <w:rPr>
            <w:rStyle w:val="Hyperlink"/>
            <w:rFonts w:asciiTheme="minorHAnsi" w:hAnsiTheme="minorHAnsi" w:cs="Tahoma"/>
          </w:rPr>
          <w:t>http://go.microsoft.com/fwlink/?LinkId=140057</w:t>
        </w:r>
      </w:hyperlink>
      <w:r w:rsidR="007A4CC1">
        <w:rPr>
          <w:rFonts w:asciiTheme="minorHAnsi" w:hAnsiTheme="minorHAnsi" w:cs="Tahoma"/>
        </w:rPr>
        <w:t xml:space="preserve"> </w:t>
      </w:r>
      <w:r w:rsidR="001E00E6">
        <w:rPr>
          <w:rFonts w:asciiTheme="minorHAnsi" w:hAnsiTheme="minorHAnsi" w:cs="Tahoma"/>
        </w:rPr>
        <w:t xml:space="preserve"> and </w:t>
      </w:r>
      <w:hyperlink r:id="rId12" w:history="1">
        <w:r w:rsidR="00D30C13" w:rsidRPr="00D30C13">
          <w:rPr>
            <w:rStyle w:val="Hyperlink"/>
            <w:rFonts w:asciiTheme="minorHAnsi" w:hAnsiTheme="minorHAnsi" w:cs="Arial"/>
          </w:rPr>
          <w:t>http://go.microsoft.com/fwlink/?LinkID=79398&amp;clcid=0x409</w:t>
        </w:r>
      </w:hyperlink>
      <w:r w:rsidR="001E00E6">
        <w:t xml:space="preserve"> </w:t>
      </w:r>
      <w:r w:rsidR="007C0712" w:rsidRPr="007A4CC1">
        <w:rPr>
          <w:rFonts w:asciiTheme="minorHAnsi" w:hAnsiTheme="minorHAnsi" w:cs="Tahoma"/>
        </w:rPr>
        <w:t xml:space="preserve">in order </w:t>
      </w:r>
      <w:r w:rsidRPr="007A4CC1">
        <w:rPr>
          <w:rFonts w:asciiTheme="minorHAnsi" w:hAnsiTheme="minorHAnsi" w:cs="Tahoma"/>
        </w:rPr>
        <w:t xml:space="preserve">to make </w:t>
      </w:r>
      <w:r w:rsidR="009C170A" w:rsidRPr="007A4CC1">
        <w:rPr>
          <w:rFonts w:asciiTheme="minorHAnsi" w:hAnsiTheme="minorHAnsi" w:cs="Tahoma"/>
        </w:rPr>
        <w:t>C</w:t>
      </w:r>
      <w:r w:rsidRPr="007A4CC1">
        <w:rPr>
          <w:rFonts w:asciiTheme="minorHAnsi" w:hAnsiTheme="minorHAnsi" w:cs="Tahoma"/>
        </w:rPr>
        <w:t>laims</w:t>
      </w:r>
      <w:r w:rsidR="004B5937" w:rsidRPr="007A4CC1">
        <w:rPr>
          <w:rFonts w:asciiTheme="minorHAnsi" w:hAnsiTheme="minorHAnsi" w:cs="Tahoma"/>
        </w:rPr>
        <w:t>.</w:t>
      </w:r>
      <w:r w:rsidRPr="007A4CC1">
        <w:rPr>
          <w:rFonts w:asciiTheme="minorHAnsi" w:hAnsiTheme="minorHAnsi" w:cs="Tahoma"/>
        </w:rPr>
        <w:t xml:space="preserve"> </w:t>
      </w:r>
    </w:p>
    <w:p w:rsidR="00F3732A" w:rsidRPr="00FD5100" w:rsidRDefault="00F3732A" w:rsidP="00AA6FE7">
      <w:pPr>
        <w:pStyle w:val="ListParagraph"/>
        <w:ind w:left="1980"/>
        <w:rPr>
          <w:rFonts w:cs="Tahoma"/>
        </w:rPr>
      </w:pPr>
    </w:p>
    <w:p w:rsidR="00F3732A" w:rsidRDefault="00F3732A" w:rsidP="00AA2B70">
      <w:pPr>
        <w:pStyle w:val="ListParagraph"/>
        <w:numPr>
          <w:ilvl w:val="1"/>
          <w:numId w:val="1"/>
        </w:numPr>
        <w:rPr>
          <w:rFonts w:cs="Tahoma"/>
        </w:rPr>
      </w:pPr>
      <w:r>
        <w:rPr>
          <w:rFonts w:cs="Tahoma"/>
        </w:rPr>
        <w:t>SLA Exclusions</w:t>
      </w:r>
    </w:p>
    <w:p w:rsidR="00F3732A" w:rsidRDefault="00F3732A" w:rsidP="00AA2B70">
      <w:pPr>
        <w:pStyle w:val="ListParagraph"/>
        <w:numPr>
          <w:ilvl w:val="2"/>
          <w:numId w:val="1"/>
        </w:numPr>
        <w:rPr>
          <w:rFonts w:cs="Tahoma"/>
        </w:rPr>
      </w:pPr>
      <w:r>
        <w:rPr>
          <w:rFonts w:cs="Tahoma"/>
        </w:rPr>
        <w:t>Th</w:t>
      </w:r>
      <w:r w:rsidR="00D32E4B">
        <w:rPr>
          <w:rFonts w:cs="Tahoma"/>
        </w:rPr>
        <w:t>is</w:t>
      </w:r>
      <w:r>
        <w:rPr>
          <w:rFonts w:cs="Tahoma"/>
        </w:rPr>
        <w:t xml:space="preserve"> SLA </w:t>
      </w:r>
      <w:r w:rsidR="00D32E4B">
        <w:rPr>
          <w:rFonts w:cs="Tahoma"/>
        </w:rPr>
        <w:t xml:space="preserve">and any applicable Service Levels </w:t>
      </w:r>
      <w:r>
        <w:rPr>
          <w:rFonts w:cs="Tahoma"/>
        </w:rPr>
        <w:t>do not apply to any performance or availability issues:</w:t>
      </w:r>
    </w:p>
    <w:p w:rsidR="00F3732A" w:rsidRDefault="00D32E4B" w:rsidP="00AA2B70">
      <w:pPr>
        <w:pStyle w:val="ListParagraph"/>
        <w:numPr>
          <w:ilvl w:val="3"/>
          <w:numId w:val="1"/>
        </w:numPr>
        <w:rPr>
          <w:rFonts w:cs="Tahoma"/>
        </w:rPr>
      </w:pPr>
      <w:r>
        <w:rPr>
          <w:rFonts w:cs="Tahoma"/>
        </w:rPr>
        <w:t>Due t</w:t>
      </w:r>
      <w:r w:rsidR="00F3732A">
        <w:rPr>
          <w:rFonts w:cs="Tahoma"/>
        </w:rPr>
        <w:t xml:space="preserve">o factors outside </w:t>
      </w:r>
      <w:r w:rsidR="00F3732A" w:rsidRPr="00AA45CC">
        <w:rPr>
          <w:rFonts w:cs="Tahoma"/>
        </w:rPr>
        <w:t>Microsoft’s reasonable control</w:t>
      </w:r>
      <w:r>
        <w:rPr>
          <w:rFonts w:cs="Tahoma"/>
        </w:rPr>
        <w:t>;</w:t>
      </w:r>
    </w:p>
    <w:p w:rsidR="00F3732A" w:rsidRDefault="00F3732A" w:rsidP="00AA2B70">
      <w:pPr>
        <w:pStyle w:val="ListParagraph"/>
        <w:numPr>
          <w:ilvl w:val="3"/>
          <w:numId w:val="1"/>
        </w:numPr>
        <w:rPr>
          <w:rFonts w:cs="Tahoma"/>
        </w:rPr>
      </w:pPr>
      <w:r>
        <w:rPr>
          <w:rFonts w:cs="Tahoma"/>
        </w:rPr>
        <w:t xml:space="preserve">That resulted from Customer’s </w:t>
      </w:r>
      <w:r w:rsidR="00D32E4B">
        <w:rPr>
          <w:rFonts w:cs="Tahoma"/>
        </w:rPr>
        <w:t xml:space="preserve">or third party </w:t>
      </w:r>
      <w:r>
        <w:rPr>
          <w:rFonts w:cs="Tahoma"/>
        </w:rPr>
        <w:t>hardware</w:t>
      </w:r>
      <w:r w:rsidR="00D32E4B">
        <w:rPr>
          <w:rFonts w:cs="Tahoma"/>
        </w:rPr>
        <w:t xml:space="preserve"> or </w:t>
      </w:r>
      <w:r>
        <w:rPr>
          <w:rFonts w:cs="Tahoma"/>
        </w:rPr>
        <w:t>software</w:t>
      </w:r>
      <w:r w:rsidR="00D32E4B">
        <w:rPr>
          <w:rFonts w:cs="Tahoma"/>
        </w:rPr>
        <w:t>;</w:t>
      </w:r>
    </w:p>
    <w:p w:rsidR="00F3732A" w:rsidRDefault="00F3732A" w:rsidP="00AA2B70">
      <w:pPr>
        <w:pStyle w:val="ListParagraph"/>
        <w:numPr>
          <w:ilvl w:val="3"/>
          <w:numId w:val="1"/>
        </w:numPr>
        <w:rPr>
          <w:rFonts w:cs="Tahoma"/>
        </w:rPr>
      </w:pPr>
      <w:r>
        <w:rPr>
          <w:rFonts w:cs="Tahoma"/>
        </w:rPr>
        <w:t xml:space="preserve">That resulted from actions or inactions of </w:t>
      </w:r>
      <w:r w:rsidR="00596C59">
        <w:rPr>
          <w:rFonts w:cs="Tahoma"/>
        </w:rPr>
        <w:t>C</w:t>
      </w:r>
      <w:r>
        <w:rPr>
          <w:rFonts w:cs="Tahoma"/>
        </w:rPr>
        <w:t>ustomer or third parties</w:t>
      </w:r>
      <w:r w:rsidR="00596C59">
        <w:rPr>
          <w:rFonts w:cs="Tahoma"/>
        </w:rPr>
        <w:t>;</w:t>
      </w:r>
    </w:p>
    <w:p w:rsidR="00A47BC2" w:rsidRDefault="00A47BC2" w:rsidP="00AA2B70">
      <w:pPr>
        <w:pStyle w:val="ListParagraph"/>
        <w:numPr>
          <w:ilvl w:val="3"/>
          <w:numId w:val="1"/>
        </w:numPr>
        <w:rPr>
          <w:rFonts w:cs="Tahoma"/>
        </w:rPr>
      </w:pPr>
      <w:r>
        <w:rPr>
          <w:rFonts w:cs="Tahoma"/>
        </w:rPr>
        <w:t>Caused by Customer’s use of the Service after Microsoft advised Customer to modify its use of the Service</w:t>
      </w:r>
      <w:r w:rsidR="004B5937">
        <w:rPr>
          <w:rFonts w:cs="Tahoma"/>
        </w:rPr>
        <w:t>, if</w:t>
      </w:r>
      <w:r>
        <w:rPr>
          <w:rFonts w:cs="Tahoma"/>
        </w:rPr>
        <w:t xml:space="preserve"> Customer </w:t>
      </w:r>
      <w:r w:rsidR="004B5937">
        <w:rPr>
          <w:rFonts w:cs="Tahoma"/>
        </w:rPr>
        <w:t xml:space="preserve">did </w:t>
      </w:r>
      <w:r>
        <w:rPr>
          <w:rFonts w:cs="Tahoma"/>
        </w:rPr>
        <w:t>not</w:t>
      </w:r>
      <w:r w:rsidR="00A57AAC">
        <w:rPr>
          <w:rFonts w:cs="Tahoma"/>
        </w:rPr>
        <w:t xml:space="preserve"> </w:t>
      </w:r>
      <w:r>
        <w:rPr>
          <w:rFonts w:cs="Tahoma"/>
        </w:rPr>
        <w:t xml:space="preserve">modified </w:t>
      </w:r>
      <w:r w:rsidR="004B5937">
        <w:rPr>
          <w:rFonts w:cs="Tahoma"/>
        </w:rPr>
        <w:t xml:space="preserve">its </w:t>
      </w:r>
      <w:r>
        <w:rPr>
          <w:rFonts w:cs="Tahoma"/>
        </w:rPr>
        <w:t>use</w:t>
      </w:r>
      <w:r w:rsidR="004B5937">
        <w:rPr>
          <w:rFonts w:cs="Tahoma"/>
        </w:rPr>
        <w:t xml:space="preserve"> as advised</w:t>
      </w:r>
      <w:r>
        <w:rPr>
          <w:rFonts w:cs="Tahoma"/>
        </w:rPr>
        <w:t>;</w:t>
      </w:r>
    </w:p>
    <w:p w:rsidR="00F3732A" w:rsidRPr="001E00E6" w:rsidRDefault="00F3732A" w:rsidP="00AA2B70">
      <w:pPr>
        <w:pStyle w:val="ListParagraph"/>
        <w:numPr>
          <w:ilvl w:val="3"/>
          <w:numId w:val="1"/>
        </w:numPr>
        <w:rPr>
          <w:rFonts w:cs="Tahoma"/>
        </w:rPr>
      </w:pPr>
      <w:r w:rsidRPr="001E00E6">
        <w:rPr>
          <w:rFonts w:cs="Tahoma"/>
        </w:rPr>
        <w:t xml:space="preserve">During beta and trial </w:t>
      </w:r>
      <w:r w:rsidR="00D30C13" w:rsidRPr="00D30C13">
        <w:rPr>
          <w:rFonts w:cs="Tahoma"/>
        </w:rPr>
        <w:t>Services (as determined by Microsoft).</w:t>
      </w:r>
    </w:p>
    <w:p w:rsidR="005E2253" w:rsidRPr="001E00E6" w:rsidRDefault="00D30C13" w:rsidP="00AA2B70">
      <w:pPr>
        <w:pStyle w:val="ListParagraph"/>
        <w:numPr>
          <w:ilvl w:val="3"/>
          <w:numId w:val="1"/>
        </w:numPr>
        <w:rPr>
          <w:rFonts w:cs="Tahoma"/>
        </w:rPr>
      </w:pPr>
      <w:r w:rsidRPr="00D30C13">
        <w:rPr>
          <w:rFonts w:cs="Tahoma"/>
        </w:rPr>
        <w:t>For Exchange Hosted Archive versions prior to version number 9.1 released in July 2009.  To see what version you are running, see the About section of the service or contact support.</w:t>
      </w:r>
    </w:p>
    <w:p w:rsidR="00F3732A" w:rsidRPr="00FD5100" w:rsidRDefault="00F3732A" w:rsidP="00AA2B70">
      <w:pPr>
        <w:pStyle w:val="ListParagraph"/>
        <w:ind w:left="2880"/>
        <w:rPr>
          <w:rFonts w:cs="Tahoma"/>
        </w:rPr>
      </w:pPr>
    </w:p>
    <w:p w:rsidR="00F3732A" w:rsidRPr="00E3417D" w:rsidRDefault="003B03E3" w:rsidP="00E87CFD">
      <w:pPr>
        <w:pStyle w:val="ListParagraph"/>
        <w:numPr>
          <w:ilvl w:val="1"/>
          <w:numId w:val="1"/>
        </w:numPr>
      </w:pPr>
      <w:r>
        <w:rPr>
          <w:rFonts w:cs="Segoe UI"/>
        </w:rPr>
        <w:t>Service Credits</w:t>
      </w:r>
    </w:p>
    <w:p w:rsidR="003E5A3B" w:rsidRPr="003E5A3B" w:rsidRDefault="004B5937" w:rsidP="00312864">
      <w:pPr>
        <w:pStyle w:val="ListParagraph"/>
        <w:numPr>
          <w:ilvl w:val="2"/>
          <w:numId w:val="1"/>
        </w:numPr>
        <w:rPr>
          <w:rFonts w:cs="Tahoma"/>
        </w:rPr>
      </w:pPr>
      <w:r>
        <w:rPr>
          <w:rFonts w:cs="Segoe UI"/>
        </w:rPr>
        <w:t>The amount and method of calculation of Service Credits is described below in connection with each Service Level description</w:t>
      </w:r>
      <w:r w:rsidR="003E5A3B" w:rsidRPr="009408CC">
        <w:rPr>
          <w:rFonts w:cs="Segoe UI"/>
        </w:rPr>
        <w:t xml:space="preserve">. </w:t>
      </w:r>
      <w:r w:rsidR="003E5A3B">
        <w:rPr>
          <w:rFonts w:cs="Segoe UI"/>
        </w:rPr>
        <w:t xml:space="preserve"> </w:t>
      </w:r>
    </w:p>
    <w:p w:rsidR="00F3732A" w:rsidRPr="00356412" w:rsidRDefault="003E5A3B" w:rsidP="00312864">
      <w:pPr>
        <w:pStyle w:val="ListParagraph"/>
        <w:numPr>
          <w:ilvl w:val="2"/>
          <w:numId w:val="1"/>
        </w:numPr>
        <w:rPr>
          <w:rFonts w:cs="Tahoma"/>
        </w:rPr>
      </w:pPr>
      <w:r>
        <w:rPr>
          <w:rFonts w:cs="Segoe UI"/>
        </w:rPr>
        <w:t>Service Credits are</w:t>
      </w:r>
      <w:r w:rsidR="00F3732A" w:rsidRPr="00356412">
        <w:rPr>
          <w:rFonts w:cs="Segoe UI"/>
        </w:rPr>
        <w:t xml:space="preserve"> </w:t>
      </w:r>
      <w:r>
        <w:rPr>
          <w:rFonts w:cs="Segoe UI"/>
        </w:rPr>
        <w:t>C</w:t>
      </w:r>
      <w:r w:rsidR="00F3732A" w:rsidRPr="00356412">
        <w:rPr>
          <w:rFonts w:cs="Segoe UI"/>
        </w:rPr>
        <w:t xml:space="preserve">ustomer’s sole and exclusive remedy </w:t>
      </w:r>
      <w:r>
        <w:rPr>
          <w:rFonts w:cs="Segoe UI"/>
        </w:rPr>
        <w:t>for any violation of this SLA.</w:t>
      </w:r>
    </w:p>
    <w:p w:rsidR="00F3732A" w:rsidRPr="000F4658" w:rsidRDefault="00F3732A" w:rsidP="00312864">
      <w:pPr>
        <w:pStyle w:val="ListParagraph"/>
        <w:numPr>
          <w:ilvl w:val="2"/>
          <w:numId w:val="1"/>
        </w:numPr>
        <w:rPr>
          <w:rFonts w:cs="Tahoma"/>
        </w:rPr>
      </w:pPr>
      <w:r>
        <w:rPr>
          <w:rFonts w:cs="Segoe UI"/>
        </w:rPr>
        <w:t xml:space="preserve">The </w:t>
      </w:r>
      <w:r w:rsidR="00634313">
        <w:rPr>
          <w:rFonts w:cs="Segoe UI"/>
        </w:rPr>
        <w:t xml:space="preserve">Service Credits </w:t>
      </w:r>
      <w:r>
        <w:rPr>
          <w:rFonts w:cs="Segoe UI"/>
        </w:rPr>
        <w:t xml:space="preserve">awarded in any calendar month shall not, under any circumstance, exceed </w:t>
      </w:r>
      <w:r w:rsidR="00957F31">
        <w:rPr>
          <w:rFonts w:cs="Segoe UI"/>
        </w:rPr>
        <w:t xml:space="preserve">Customer’s </w:t>
      </w:r>
      <w:r>
        <w:rPr>
          <w:rFonts w:cs="Segoe UI"/>
        </w:rPr>
        <w:t xml:space="preserve">monthly </w:t>
      </w:r>
      <w:r w:rsidR="001D607D">
        <w:rPr>
          <w:rFonts w:cs="Segoe UI"/>
        </w:rPr>
        <w:t>S</w:t>
      </w:r>
      <w:r>
        <w:rPr>
          <w:rFonts w:cs="Segoe UI"/>
        </w:rPr>
        <w:t>ervice fees</w:t>
      </w:r>
      <w:r w:rsidR="00634313">
        <w:rPr>
          <w:rFonts w:cs="Segoe UI"/>
        </w:rPr>
        <w:t>.</w:t>
      </w:r>
    </w:p>
    <w:p w:rsidR="00F3732A" w:rsidRPr="00290DE4" w:rsidRDefault="00F3732A" w:rsidP="00312864">
      <w:pPr>
        <w:pStyle w:val="ListParagraph"/>
        <w:numPr>
          <w:ilvl w:val="2"/>
          <w:numId w:val="1"/>
        </w:numPr>
        <w:rPr>
          <w:rFonts w:cs="Tahoma"/>
        </w:rPr>
      </w:pPr>
      <w:r>
        <w:rPr>
          <w:rFonts w:cs="Segoe UI"/>
        </w:rPr>
        <w:t xml:space="preserve">For </w:t>
      </w:r>
      <w:r w:rsidR="00957F31">
        <w:rPr>
          <w:rFonts w:cs="Segoe UI"/>
        </w:rPr>
        <w:t>S</w:t>
      </w:r>
      <w:r>
        <w:rPr>
          <w:rFonts w:cs="Segoe UI"/>
        </w:rPr>
        <w:t>ervices purchased as part of a suite</w:t>
      </w:r>
      <w:r w:rsidR="003B03E3">
        <w:rPr>
          <w:rFonts w:cs="Segoe UI"/>
        </w:rPr>
        <w:t>,</w:t>
      </w:r>
      <w:r>
        <w:rPr>
          <w:rFonts w:cs="Segoe UI"/>
        </w:rPr>
        <w:t xml:space="preserve"> the </w:t>
      </w:r>
      <w:r w:rsidR="003B03E3">
        <w:rPr>
          <w:rFonts w:cs="Segoe UI"/>
        </w:rPr>
        <w:t>S</w:t>
      </w:r>
      <w:r>
        <w:rPr>
          <w:rFonts w:cs="Segoe UI"/>
        </w:rPr>
        <w:t xml:space="preserve">ervice </w:t>
      </w:r>
      <w:r w:rsidR="003B03E3">
        <w:rPr>
          <w:rFonts w:cs="Segoe UI"/>
        </w:rPr>
        <w:t>C</w:t>
      </w:r>
      <w:r>
        <w:rPr>
          <w:rFonts w:cs="Segoe UI"/>
        </w:rPr>
        <w:t xml:space="preserve">redit will be based on the </w:t>
      </w:r>
      <w:r w:rsidR="003B03E3">
        <w:rPr>
          <w:rFonts w:cs="Segoe UI"/>
        </w:rPr>
        <w:t xml:space="preserve">pro-rata portion of the </w:t>
      </w:r>
      <w:r>
        <w:rPr>
          <w:rFonts w:cs="Segoe UI"/>
        </w:rPr>
        <w:t xml:space="preserve">cost of </w:t>
      </w:r>
      <w:r w:rsidR="003B03E3">
        <w:rPr>
          <w:rFonts w:cs="Segoe UI"/>
        </w:rPr>
        <w:t>the S</w:t>
      </w:r>
      <w:r>
        <w:rPr>
          <w:rFonts w:cs="Segoe UI"/>
        </w:rPr>
        <w:t>ervice</w:t>
      </w:r>
      <w:r w:rsidR="00F139E4">
        <w:rPr>
          <w:rFonts w:cs="Segoe UI"/>
        </w:rPr>
        <w:t>, as determined by Microsoft</w:t>
      </w:r>
      <w:r w:rsidR="004B5937">
        <w:rPr>
          <w:rFonts w:cs="Segoe UI"/>
        </w:rPr>
        <w:t xml:space="preserve"> in its reasonable discretion</w:t>
      </w:r>
      <w:r w:rsidR="003B03E3">
        <w:rPr>
          <w:rFonts w:cs="Segoe UI"/>
        </w:rPr>
        <w:t>.</w:t>
      </w:r>
      <w:r>
        <w:rPr>
          <w:rFonts w:cs="Segoe UI"/>
        </w:rPr>
        <w:t xml:space="preserve"> </w:t>
      </w:r>
      <w:r w:rsidR="004B5937">
        <w:rPr>
          <w:rFonts w:cs="Segoe UI"/>
        </w:rPr>
        <w:t xml:space="preserve"> In cases where Customer has purchased Services indirectly through a reseller or partner, the Service Credit will be calculated based on Microsoft’s estimate of the </w:t>
      </w:r>
      <w:r w:rsidR="001D607D">
        <w:rPr>
          <w:rFonts w:cs="Segoe UI"/>
        </w:rPr>
        <w:t>S</w:t>
      </w:r>
      <w:r w:rsidR="004B5937">
        <w:rPr>
          <w:rFonts w:cs="Segoe UI"/>
        </w:rPr>
        <w:t>ervice fees paid by Customer for the applicable Service, as determined by Microsoft in its reasonable discretion.</w:t>
      </w:r>
    </w:p>
    <w:p w:rsidR="00EB7286" w:rsidRDefault="00EB7286" w:rsidP="00EB7286">
      <w:pPr>
        <w:pStyle w:val="ListParagraph"/>
        <w:rPr>
          <w:rFonts w:cs="Tahoma"/>
        </w:rPr>
      </w:pPr>
    </w:p>
    <w:p w:rsidR="00756500" w:rsidRDefault="00756500" w:rsidP="00312864">
      <w:pPr>
        <w:pStyle w:val="ListParagraph"/>
        <w:numPr>
          <w:ilvl w:val="0"/>
          <w:numId w:val="1"/>
        </w:numPr>
        <w:rPr>
          <w:rFonts w:cs="Tahoma"/>
        </w:rPr>
      </w:pPr>
      <w:r>
        <w:rPr>
          <w:rFonts w:cs="Tahoma"/>
        </w:rPr>
        <w:t>Service Levels</w:t>
      </w:r>
    </w:p>
    <w:p w:rsidR="00F3732A" w:rsidRDefault="00761B66" w:rsidP="00756500">
      <w:pPr>
        <w:pStyle w:val="ListParagraph"/>
        <w:numPr>
          <w:ilvl w:val="1"/>
          <w:numId w:val="1"/>
        </w:numPr>
        <w:rPr>
          <w:rFonts w:cs="Tahoma"/>
        </w:rPr>
      </w:pPr>
      <w:r>
        <w:rPr>
          <w:rFonts w:cs="Tahoma"/>
        </w:rPr>
        <w:t xml:space="preserve">Monthly </w:t>
      </w:r>
      <w:r w:rsidR="00DF6EF7">
        <w:rPr>
          <w:rFonts w:cs="Tahoma"/>
        </w:rPr>
        <w:t xml:space="preserve">Capture </w:t>
      </w:r>
      <w:r w:rsidR="00F3732A">
        <w:rPr>
          <w:rFonts w:cs="Tahoma"/>
        </w:rPr>
        <w:t xml:space="preserve">Uptime </w:t>
      </w:r>
      <w:r w:rsidR="00756500">
        <w:rPr>
          <w:rFonts w:cs="Tahoma"/>
        </w:rPr>
        <w:t xml:space="preserve"> Service Level</w:t>
      </w:r>
      <w:r w:rsidR="00F3732A">
        <w:rPr>
          <w:rFonts w:cs="Tahoma"/>
        </w:rPr>
        <w:t xml:space="preserve">  </w:t>
      </w:r>
    </w:p>
    <w:p w:rsidR="00F3732A" w:rsidRDefault="00F3732A" w:rsidP="00756500">
      <w:pPr>
        <w:pStyle w:val="ListParagraph"/>
        <w:numPr>
          <w:ilvl w:val="2"/>
          <w:numId w:val="1"/>
        </w:numPr>
        <w:rPr>
          <w:rFonts w:cs="Tahoma"/>
        </w:rPr>
      </w:pPr>
      <w:r>
        <w:rPr>
          <w:rFonts w:cs="Tahoma"/>
        </w:rPr>
        <w:t>Definitions</w:t>
      </w:r>
    </w:p>
    <w:p w:rsidR="00F3732A" w:rsidRPr="004E585F" w:rsidRDefault="00761B66" w:rsidP="008874D4">
      <w:pPr>
        <w:pStyle w:val="ListParagraph"/>
        <w:numPr>
          <w:ilvl w:val="3"/>
          <w:numId w:val="1"/>
        </w:numPr>
        <w:rPr>
          <w:rFonts w:cs="Tahoma"/>
        </w:rPr>
      </w:pPr>
      <w:r>
        <w:rPr>
          <w:rFonts w:cs="Segoe UI"/>
        </w:rPr>
        <w:t>“</w:t>
      </w:r>
      <w:r w:rsidR="00D5718A">
        <w:rPr>
          <w:rFonts w:cs="Segoe UI"/>
        </w:rPr>
        <w:t>Downtime</w:t>
      </w:r>
      <w:r>
        <w:rPr>
          <w:rFonts w:cs="Segoe UI"/>
        </w:rPr>
        <w:t>”</w:t>
      </w:r>
      <w:r w:rsidR="00D5718A">
        <w:rPr>
          <w:rFonts w:cs="Segoe UI"/>
        </w:rPr>
        <w:t xml:space="preserve"> is the </w:t>
      </w:r>
      <w:r w:rsidR="00D5718A" w:rsidRPr="003F04FC">
        <w:rPr>
          <w:rFonts w:cs="Segoe UI"/>
        </w:rPr>
        <w:t xml:space="preserve">time in a calendar month that the network is </w:t>
      </w:r>
      <w:r w:rsidR="00D5718A">
        <w:rPr>
          <w:rFonts w:cs="Segoe UI"/>
        </w:rPr>
        <w:t xml:space="preserve">not </w:t>
      </w:r>
      <w:r w:rsidR="00D5718A" w:rsidRPr="003F04FC">
        <w:rPr>
          <w:rFonts w:cs="Segoe UI"/>
        </w:rPr>
        <w:t>able to rec</w:t>
      </w:r>
      <w:r w:rsidR="00D5718A">
        <w:rPr>
          <w:rFonts w:cs="Segoe UI"/>
        </w:rPr>
        <w:t>eive and process e</w:t>
      </w:r>
      <w:r w:rsidR="00DF6EF7">
        <w:rPr>
          <w:rFonts w:cs="Segoe UI"/>
        </w:rPr>
        <w:t>-</w:t>
      </w:r>
      <w:r w:rsidR="00D5718A">
        <w:rPr>
          <w:rFonts w:cs="Segoe UI"/>
        </w:rPr>
        <w:t xml:space="preserve">mail messages. Downtime </w:t>
      </w:r>
      <w:r w:rsidR="007E65A7" w:rsidRPr="007E65A7">
        <w:rPr>
          <w:rFonts w:cs="Segoe UI"/>
        </w:rPr>
        <w:t xml:space="preserve">does not include the period of </w:t>
      </w:r>
      <w:r w:rsidR="007E65A7" w:rsidRPr="007E65A7">
        <w:rPr>
          <w:rFonts w:cs="Segoe UI"/>
        </w:rPr>
        <w:lastRenderedPageBreak/>
        <w:t xml:space="preserve">time when the </w:t>
      </w:r>
      <w:r w:rsidR="007E65A7">
        <w:rPr>
          <w:rFonts w:cs="Segoe UI"/>
        </w:rPr>
        <w:t xml:space="preserve">Service </w:t>
      </w:r>
      <w:r w:rsidR="007E65A7" w:rsidRPr="007E65A7">
        <w:rPr>
          <w:rFonts w:cs="Segoe UI"/>
        </w:rPr>
        <w:t>is not available as a result of</w:t>
      </w:r>
      <w:r w:rsidR="007E65A7" w:rsidRPr="008A73C5">
        <w:rPr>
          <w:rFonts w:cs="Segoe UI"/>
          <w:b/>
        </w:rPr>
        <w:t xml:space="preserve"> </w:t>
      </w:r>
      <w:r w:rsidR="007E65A7" w:rsidRPr="007E65A7">
        <w:rPr>
          <w:rFonts w:cs="Segoe UI"/>
        </w:rPr>
        <w:t xml:space="preserve">the acts or omissions of </w:t>
      </w:r>
      <w:r w:rsidR="007E65A7">
        <w:rPr>
          <w:rFonts w:cs="Segoe UI"/>
        </w:rPr>
        <w:t xml:space="preserve">Customer </w:t>
      </w:r>
      <w:r w:rsidR="007E65A7" w:rsidRPr="007E65A7">
        <w:rPr>
          <w:rFonts w:cs="Segoe UI"/>
        </w:rPr>
        <w:t xml:space="preserve">or </w:t>
      </w:r>
      <w:r w:rsidR="007E65A7">
        <w:rPr>
          <w:rFonts w:cs="Segoe UI"/>
        </w:rPr>
        <w:t>Customer</w:t>
      </w:r>
      <w:r w:rsidR="007E65A7" w:rsidRPr="007E65A7">
        <w:rPr>
          <w:rFonts w:cs="Segoe UI"/>
        </w:rPr>
        <w:t xml:space="preserve">’s employees, agents, contractors, or vendors, or anyone gaining access to </w:t>
      </w:r>
      <w:r w:rsidR="007E65A7">
        <w:rPr>
          <w:rFonts w:cs="Segoe UI"/>
        </w:rPr>
        <w:t>Microsoft’s</w:t>
      </w:r>
      <w:r w:rsidR="007E65A7" w:rsidRPr="007E65A7">
        <w:rPr>
          <w:rFonts w:cs="Segoe UI"/>
        </w:rPr>
        <w:t xml:space="preserve"> network by means of </w:t>
      </w:r>
      <w:r w:rsidR="007E65A7">
        <w:rPr>
          <w:rFonts w:cs="Segoe UI"/>
        </w:rPr>
        <w:t>Customer</w:t>
      </w:r>
      <w:r w:rsidR="007E65A7" w:rsidRPr="007E65A7">
        <w:rPr>
          <w:rFonts w:cs="Segoe UI"/>
        </w:rPr>
        <w:t>’s passwords or equipment</w:t>
      </w:r>
      <w:r w:rsidR="007E65A7">
        <w:rPr>
          <w:rFonts w:cs="Segoe UI"/>
        </w:rPr>
        <w:t>.</w:t>
      </w:r>
    </w:p>
    <w:p w:rsidR="00F3732A" w:rsidRPr="002F3D7B" w:rsidRDefault="00761B66" w:rsidP="00756500">
      <w:pPr>
        <w:pStyle w:val="ListParagraph"/>
        <w:numPr>
          <w:ilvl w:val="3"/>
          <w:numId w:val="1"/>
        </w:numPr>
        <w:rPr>
          <w:rFonts w:cs="Tahoma"/>
        </w:rPr>
      </w:pPr>
      <w:r>
        <w:rPr>
          <w:rFonts w:cs="Tahoma"/>
        </w:rPr>
        <w:t xml:space="preserve">“Monthly </w:t>
      </w:r>
      <w:r w:rsidR="00F3732A" w:rsidRPr="00B16DFF">
        <w:rPr>
          <w:rFonts w:cs="Segoe UI"/>
        </w:rPr>
        <w:t xml:space="preserve">Uptime </w:t>
      </w:r>
      <w:r>
        <w:rPr>
          <w:rFonts w:cs="Segoe UI"/>
        </w:rPr>
        <w:t>P</w:t>
      </w:r>
      <w:r w:rsidR="00F3732A" w:rsidRPr="00B16DFF">
        <w:rPr>
          <w:rFonts w:cs="Segoe UI"/>
        </w:rPr>
        <w:t>ercentage</w:t>
      </w:r>
      <w:r>
        <w:rPr>
          <w:rFonts w:cs="Segoe UI"/>
        </w:rPr>
        <w:t>”</w:t>
      </w:r>
      <w:r w:rsidR="00F3732A" w:rsidRPr="00B16DFF">
        <w:rPr>
          <w:rFonts w:cs="Segoe UI"/>
        </w:rPr>
        <w:t xml:space="preserve"> for a specific </w:t>
      </w:r>
      <w:r w:rsidR="001D607D">
        <w:rPr>
          <w:rFonts w:cs="Segoe UI"/>
        </w:rPr>
        <w:t>C</w:t>
      </w:r>
      <w:r w:rsidR="00F3732A" w:rsidRPr="00B16DFF">
        <w:rPr>
          <w:rFonts w:cs="Segoe UI"/>
        </w:rPr>
        <w:t xml:space="preserve">ustomer is calculated by taking the total number of minutes in a calendar month </w:t>
      </w:r>
      <w:r w:rsidR="0046344E">
        <w:rPr>
          <w:rFonts w:cs="Segoe UI"/>
        </w:rPr>
        <w:t xml:space="preserve">multiplied by the total number of users </w:t>
      </w:r>
      <w:r>
        <w:rPr>
          <w:rFonts w:cs="Segoe UI"/>
        </w:rPr>
        <w:t xml:space="preserve">(or devices) </w:t>
      </w:r>
      <w:r w:rsidR="00F3732A" w:rsidRPr="00B16DFF">
        <w:rPr>
          <w:rFonts w:cs="Segoe UI"/>
        </w:rPr>
        <w:t xml:space="preserve">minus the </w:t>
      </w:r>
      <w:r w:rsidR="0046344E">
        <w:rPr>
          <w:rFonts w:cs="Segoe UI"/>
        </w:rPr>
        <w:t xml:space="preserve">total </w:t>
      </w:r>
      <w:r w:rsidR="00F3732A" w:rsidRPr="00B16DFF">
        <w:rPr>
          <w:rFonts w:cs="Segoe UI"/>
        </w:rPr>
        <w:t xml:space="preserve">number of minutes of Downtime </w:t>
      </w:r>
      <w:r w:rsidR="00377B81">
        <w:rPr>
          <w:rFonts w:cs="Segoe UI"/>
        </w:rPr>
        <w:t>experienced by</w:t>
      </w:r>
      <w:r w:rsidR="0046344E">
        <w:rPr>
          <w:rFonts w:cs="Segoe UI"/>
        </w:rPr>
        <w:t xml:space="preserve"> all users </w:t>
      </w:r>
      <w:r>
        <w:rPr>
          <w:rFonts w:cs="Segoe UI"/>
        </w:rPr>
        <w:t xml:space="preserve">(or devices) </w:t>
      </w:r>
      <w:r w:rsidR="00F3732A" w:rsidRPr="00B16DFF">
        <w:rPr>
          <w:rFonts w:cs="Segoe UI"/>
        </w:rPr>
        <w:t xml:space="preserve">in a given calendar month, </w:t>
      </w:r>
      <w:r w:rsidR="0046344E">
        <w:rPr>
          <w:rFonts w:cs="Segoe UI"/>
        </w:rPr>
        <w:t xml:space="preserve">all </w:t>
      </w:r>
      <w:r w:rsidR="00F3732A" w:rsidRPr="00B16DFF">
        <w:rPr>
          <w:rFonts w:cs="Segoe UI"/>
        </w:rPr>
        <w:t>divided by the total number of minutes in that calendar month</w:t>
      </w:r>
      <w:r w:rsidR="0046344E">
        <w:rPr>
          <w:rFonts w:cs="Segoe UI"/>
        </w:rPr>
        <w:t xml:space="preserve"> multiplied by the total number of users</w:t>
      </w:r>
      <w:r>
        <w:rPr>
          <w:rFonts w:cs="Segoe UI"/>
        </w:rPr>
        <w:t xml:space="preserve"> (or devices)</w:t>
      </w:r>
      <w:r w:rsidR="00722367">
        <w:rPr>
          <w:rFonts w:cs="Segoe UI"/>
        </w:rPr>
        <w:t>.</w:t>
      </w:r>
      <w:r w:rsidR="008816A7">
        <w:rPr>
          <w:rFonts w:cs="Segoe UI"/>
        </w:rPr>
        <w:t xml:space="preserve">  </w:t>
      </w:r>
      <w:r w:rsidR="005308C8">
        <w:rPr>
          <w:rFonts w:cs="Segoe UI"/>
        </w:rPr>
        <w:t xml:space="preserve"> This is reflected in the following formula:</w:t>
      </w:r>
    </w:p>
    <w:p w:rsidR="002F3D7B" w:rsidRPr="00377B81" w:rsidRDefault="002F3D7B" w:rsidP="002F3D7B">
      <w:pPr>
        <w:pStyle w:val="ListParagraph"/>
        <w:ind w:left="2880"/>
        <w:rPr>
          <w:rFonts w:cs="Tahoma"/>
        </w:rPr>
      </w:pPr>
    </w:p>
    <w:p w:rsidR="00377B81" w:rsidRDefault="00C66660" w:rsidP="00377B81">
      <w:pPr>
        <w:pStyle w:val="ListParagraph"/>
        <w:ind w:left="2880"/>
        <w:rPr>
          <w:rFonts w:cs="Tahoma"/>
        </w:rPr>
      </w:pPr>
      <w:r>
        <w:rPr>
          <w:rFonts w:cs="Tahoma"/>
          <w:noProof/>
        </w:rPr>
        <w:drawing>
          <wp:inline distT="0" distB="0" distL="0" distR="0">
            <wp:extent cx="3257550" cy="10096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8600" cy="1199501"/>
                      <a:chOff x="1447800" y="2703576"/>
                      <a:chExt cx="4038600" cy="1199501"/>
                    </a:xfrm>
                  </a:grpSpPr>
                  <a:grpSp>
                    <a:nvGrpSpPr>
                      <a:cNvPr id="20" name="Group 19"/>
                      <a:cNvGrpSpPr/>
                    </a:nvGrpSpPr>
                    <a:grpSpPr>
                      <a:xfrm>
                        <a:off x="1447800" y="2703576"/>
                        <a:ext cx="4038600" cy="1199501"/>
                        <a:chOff x="1447800" y="2703576"/>
                        <a:chExt cx="4038600" cy="1199501"/>
                      </a:xfrm>
                    </a:grpSpPr>
                    <a:sp>
                      <a:nvSpPr>
                        <a:cNvPr id="4" name="TextBox 3"/>
                        <a:cNvSpPr txBox="1"/>
                      </a:nvSpPr>
                      <a:spPr>
                        <a:xfrm>
                          <a:off x="1447800" y="2779776"/>
                          <a:ext cx="1371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minutes in a month</a:t>
                            </a:r>
                            <a:endParaRPr lang="en-US" sz="1100" dirty="0"/>
                          </a:p>
                        </a:txBody>
                        <a:useSpRect/>
                      </a:txSp>
                    </a:sp>
                    <a:sp>
                      <a:nvSpPr>
                        <a:cNvPr id="5" name="TextBox 4"/>
                        <a:cNvSpPr txBox="1"/>
                      </a:nvSpPr>
                      <a:spPr>
                        <a:xfrm>
                          <a:off x="2636520" y="2846832"/>
                          <a:ext cx="3048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X</a:t>
                            </a:r>
                            <a:endParaRPr lang="en-US" sz="1100" dirty="0"/>
                          </a:p>
                        </a:txBody>
                        <a:useSpRect/>
                      </a:txSp>
                    </a:sp>
                    <a:sp>
                      <a:nvSpPr>
                        <a:cNvPr id="6" name="TextBox 5"/>
                        <a:cNvSpPr txBox="1"/>
                      </a:nvSpPr>
                      <a:spPr>
                        <a:xfrm>
                          <a:off x="2743200" y="2703576"/>
                          <a:ext cx="990600" cy="6001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a:t>
                            </a:r>
                            <a:r>
                              <a:rPr lang="en-US" sz="1100" dirty="0" smtClean="0"/>
                              <a:t>users       (or devices)</a:t>
                            </a:r>
                            <a:endParaRPr lang="en-US" sz="1100" dirty="0"/>
                          </a:p>
                        </a:txBody>
                        <a:useSpRect/>
                      </a:txSp>
                    </a:sp>
                    <a:cxnSp>
                      <a:nvCxnSpPr>
                        <a:cNvPr id="9" name="Straight Connector 8"/>
                        <a:cNvCxnSpPr/>
                      </a:nvCxnSpPr>
                      <a:spPr>
                        <a:xfrm>
                          <a:off x="3657600" y="2971800"/>
                          <a:ext cx="76200" cy="1588"/>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3733800" y="2703576"/>
                          <a:ext cx="1752600" cy="6001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minutes of Downtime experienced by all users </a:t>
                            </a:r>
                            <a:r>
                              <a:rPr lang="en-US" sz="1100" dirty="0" smtClean="0"/>
                              <a:t>(or devices) in </a:t>
                            </a:r>
                            <a:r>
                              <a:rPr lang="en-US" sz="1100" dirty="0" smtClean="0"/>
                              <a:t>that month</a:t>
                            </a:r>
                            <a:endParaRPr lang="en-US" sz="1100" dirty="0"/>
                          </a:p>
                        </a:txBody>
                        <a:useSpRect/>
                      </a:txSp>
                    </a:sp>
                    <a:cxnSp>
                      <a:nvCxnSpPr>
                        <a:cNvPr id="13" name="Straight Connector 12"/>
                        <a:cNvCxnSpPr/>
                      </a:nvCxnSpPr>
                      <a:spPr>
                        <a:xfrm>
                          <a:off x="1600200" y="3276600"/>
                          <a:ext cx="37338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2286000" y="3379113"/>
                          <a:ext cx="1371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minutes in a month</a:t>
                            </a:r>
                            <a:endParaRPr lang="en-US" sz="1100" dirty="0"/>
                          </a:p>
                        </a:txBody>
                        <a:useSpRect/>
                      </a:txSp>
                    </a:sp>
                    <a:sp>
                      <a:nvSpPr>
                        <a:cNvPr id="15" name="TextBox 14"/>
                        <a:cNvSpPr txBox="1"/>
                      </a:nvSpPr>
                      <a:spPr>
                        <a:xfrm>
                          <a:off x="3526536" y="3429000"/>
                          <a:ext cx="3048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X</a:t>
                            </a:r>
                            <a:endParaRPr lang="en-US" sz="1100" dirty="0"/>
                          </a:p>
                        </a:txBody>
                        <a:useSpRect/>
                      </a:txSp>
                    </a:sp>
                    <a:sp>
                      <a:nvSpPr>
                        <a:cNvPr id="16" name="TextBox 15"/>
                        <a:cNvSpPr txBox="1"/>
                      </a:nvSpPr>
                      <a:spPr>
                        <a:xfrm>
                          <a:off x="3657600" y="3302913"/>
                          <a:ext cx="990600" cy="6001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a:t>
                            </a:r>
                            <a:r>
                              <a:rPr lang="en-US" sz="1100" dirty="0" smtClean="0"/>
                              <a:t>users       (or devices)</a:t>
                            </a:r>
                            <a:endParaRPr lang="en-US" sz="1100" dirty="0"/>
                          </a:p>
                        </a:txBody>
                        <a:useSpRect/>
                      </a:txSp>
                    </a:sp>
                  </a:grpSp>
                </lc:lockedCanvas>
              </a:graphicData>
            </a:graphic>
          </wp:inline>
        </w:drawing>
      </w:r>
    </w:p>
    <w:p w:rsidR="008816A7" w:rsidRPr="00377B81" w:rsidRDefault="008816A7" w:rsidP="00377B81">
      <w:pPr>
        <w:pStyle w:val="ListParagraph"/>
        <w:ind w:left="2880"/>
        <w:rPr>
          <w:rFonts w:cs="Tahoma"/>
        </w:rPr>
      </w:pPr>
    </w:p>
    <w:p w:rsidR="00F3732A" w:rsidRDefault="009756C1" w:rsidP="00312864">
      <w:pPr>
        <w:pStyle w:val="ListParagraph"/>
        <w:numPr>
          <w:ilvl w:val="2"/>
          <w:numId w:val="1"/>
        </w:numPr>
        <w:rPr>
          <w:rFonts w:cs="Tahoma"/>
        </w:rPr>
      </w:pPr>
      <w:r>
        <w:rPr>
          <w:rFonts w:cs="Tahoma"/>
        </w:rPr>
        <w:t>Uptime Service Levels</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4"/>
        <w:gridCol w:w="4032"/>
      </w:tblGrid>
      <w:tr w:rsidR="00F3732A" w:rsidRPr="00477023" w:rsidTr="00722367">
        <w:tc>
          <w:tcPr>
            <w:tcW w:w="4104" w:type="dxa"/>
            <w:shd w:val="clear" w:color="auto" w:fill="D9D9D9"/>
          </w:tcPr>
          <w:p w:rsidR="00F3732A" w:rsidRPr="00477023" w:rsidRDefault="00F3732A" w:rsidP="00761B66">
            <w:pPr>
              <w:pStyle w:val="ListParagraph"/>
              <w:spacing w:after="0" w:line="240" w:lineRule="auto"/>
              <w:ind w:left="0"/>
              <w:jc w:val="center"/>
              <w:rPr>
                <w:rFonts w:cs="Tahoma"/>
              </w:rPr>
            </w:pPr>
            <w:r w:rsidRPr="00477023">
              <w:rPr>
                <w:rFonts w:cs="Tahoma"/>
              </w:rPr>
              <w:t>Monthly Uptime Percentage</w:t>
            </w:r>
          </w:p>
        </w:tc>
        <w:tc>
          <w:tcPr>
            <w:tcW w:w="4032" w:type="dxa"/>
            <w:shd w:val="clear" w:color="auto" w:fill="D9D9D9"/>
          </w:tcPr>
          <w:p w:rsidR="00F3732A" w:rsidRPr="00477023" w:rsidRDefault="00F3732A" w:rsidP="00477023">
            <w:pPr>
              <w:pStyle w:val="ListParagraph"/>
              <w:spacing w:after="0" w:line="240" w:lineRule="auto"/>
              <w:ind w:left="0"/>
              <w:jc w:val="center"/>
              <w:rPr>
                <w:rFonts w:cs="Tahoma"/>
              </w:rPr>
            </w:pPr>
            <w:r w:rsidRPr="00477023">
              <w:rPr>
                <w:rFonts w:cs="Tahoma"/>
              </w:rPr>
              <w:t>Service Credit</w:t>
            </w:r>
          </w:p>
        </w:tc>
      </w:tr>
      <w:tr w:rsidR="00F3732A" w:rsidRPr="00477023" w:rsidTr="00722367">
        <w:tc>
          <w:tcPr>
            <w:tcW w:w="4104" w:type="dxa"/>
          </w:tcPr>
          <w:p w:rsidR="00F3732A" w:rsidRPr="00477023" w:rsidRDefault="00F3732A" w:rsidP="00477023">
            <w:pPr>
              <w:pStyle w:val="ListParagraph"/>
              <w:spacing w:after="0" w:line="240" w:lineRule="auto"/>
              <w:ind w:left="0"/>
              <w:jc w:val="center"/>
              <w:rPr>
                <w:rFonts w:cs="Tahoma"/>
              </w:rPr>
            </w:pPr>
            <w:r w:rsidRPr="00477023">
              <w:rPr>
                <w:rFonts w:cs="Tahoma"/>
              </w:rPr>
              <w:t>&lt;99.</w:t>
            </w:r>
            <w:r w:rsidR="00BA691A">
              <w:rPr>
                <w:rFonts w:cs="Tahoma"/>
              </w:rPr>
              <w:t>99</w:t>
            </w:r>
            <w:r w:rsidRPr="00477023">
              <w:rPr>
                <w:rFonts w:cs="Tahoma"/>
              </w:rPr>
              <w:t>9%</w:t>
            </w:r>
          </w:p>
        </w:tc>
        <w:tc>
          <w:tcPr>
            <w:tcW w:w="4032" w:type="dxa"/>
          </w:tcPr>
          <w:p w:rsidR="00F3732A" w:rsidRPr="00477023" w:rsidRDefault="003626E0" w:rsidP="00BA691A">
            <w:pPr>
              <w:pStyle w:val="ListParagraph"/>
              <w:spacing w:after="0" w:line="240" w:lineRule="auto"/>
              <w:ind w:left="0"/>
              <w:jc w:val="center"/>
              <w:rPr>
                <w:rFonts w:cs="Tahoma"/>
              </w:rPr>
            </w:pPr>
            <w:r>
              <w:rPr>
                <w:rFonts w:cs="Tahoma"/>
              </w:rPr>
              <w:t>25</w:t>
            </w:r>
            <w:r w:rsidR="00F3732A" w:rsidRPr="00477023">
              <w:rPr>
                <w:rFonts w:cs="Tahoma"/>
              </w:rPr>
              <w:t>%</w:t>
            </w:r>
          </w:p>
        </w:tc>
      </w:tr>
      <w:tr w:rsidR="00F3732A" w:rsidRPr="00477023" w:rsidTr="00722367">
        <w:tc>
          <w:tcPr>
            <w:tcW w:w="4104" w:type="dxa"/>
          </w:tcPr>
          <w:p w:rsidR="00F3732A" w:rsidRPr="00477023" w:rsidRDefault="00F3732A" w:rsidP="00477023">
            <w:pPr>
              <w:pStyle w:val="ListParagraph"/>
              <w:spacing w:after="0" w:line="240" w:lineRule="auto"/>
              <w:ind w:left="0"/>
              <w:jc w:val="center"/>
              <w:rPr>
                <w:rFonts w:cs="Tahoma"/>
              </w:rPr>
            </w:pPr>
            <w:r w:rsidRPr="00477023">
              <w:rPr>
                <w:rFonts w:cs="Tahoma"/>
              </w:rPr>
              <w:t>&lt;99</w:t>
            </w:r>
            <w:r w:rsidR="00BA691A">
              <w:rPr>
                <w:rFonts w:cs="Tahoma"/>
              </w:rPr>
              <w:t>.0</w:t>
            </w:r>
            <w:r w:rsidRPr="00477023">
              <w:rPr>
                <w:rFonts w:cs="Tahoma"/>
              </w:rPr>
              <w:t>%</w:t>
            </w:r>
          </w:p>
        </w:tc>
        <w:tc>
          <w:tcPr>
            <w:tcW w:w="4032" w:type="dxa"/>
          </w:tcPr>
          <w:p w:rsidR="00F3732A" w:rsidRPr="00477023" w:rsidRDefault="00F3732A" w:rsidP="00BA691A">
            <w:pPr>
              <w:pStyle w:val="ListParagraph"/>
              <w:spacing w:after="0" w:line="240" w:lineRule="auto"/>
              <w:ind w:left="0"/>
              <w:jc w:val="center"/>
              <w:rPr>
                <w:rFonts w:cs="Tahoma"/>
              </w:rPr>
            </w:pPr>
            <w:r w:rsidRPr="00477023">
              <w:rPr>
                <w:rFonts w:cs="Tahoma"/>
              </w:rPr>
              <w:t>5</w:t>
            </w:r>
            <w:r w:rsidR="003626E0">
              <w:rPr>
                <w:rFonts w:cs="Tahoma"/>
              </w:rPr>
              <w:t>0</w:t>
            </w:r>
            <w:r w:rsidRPr="00477023">
              <w:rPr>
                <w:rFonts w:cs="Tahoma"/>
              </w:rPr>
              <w:t>%</w:t>
            </w:r>
          </w:p>
        </w:tc>
      </w:tr>
      <w:tr w:rsidR="00F3732A" w:rsidRPr="00477023" w:rsidTr="00722367">
        <w:tc>
          <w:tcPr>
            <w:tcW w:w="4104" w:type="dxa"/>
          </w:tcPr>
          <w:p w:rsidR="00F3732A" w:rsidRPr="00477023" w:rsidRDefault="00F3732A" w:rsidP="00BA691A">
            <w:pPr>
              <w:pStyle w:val="ListParagraph"/>
              <w:spacing w:after="0" w:line="240" w:lineRule="auto"/>
              <w:ind w:left="0"/>
              <w:jc w:val="center"/>
              <w:rPr>
                <w:rFonts w:cs="Tahoma"/>
              </w:rPr>
            </w:pPr>
            <w:r w:rsidRPr="00477023">
              <w:rPr>
                <w:rFonts w:cs="Tahoma"/>
              </w:rPr>
              <w:t>&lt;9</w:t>
            </w:r>
            <w:r w:rsidR="00BA691A">
              <w:rPr>
                <w:rFonts w:cs="Tahoma"/>
              </w:rPr>
              <w:t>8.0</w:t>
            </w:r>
            <w:r w:rsidRPr="00477023">
              <w:rPr>
                <w:rFonts w:cs="Tahoma"/>
              </w:rPr>
              <w:t>%</w:t>
            </w:r>
          </w:p>
        </w:tc>
        <w:tc>
          <w:tcPr>
            <w:tcW w:w="4032" w:type="dxa"/>
          </w:tcPr>
          <w:p w:rsidR="00F3732A" w:rsidRPr="00477023" w:rsidRDefault="00F3732A" w:rsidP="00BA691A">
            <w:pPr>
              <w:pStyle w:val="ListParagraph"/>
              <w:spacing w:after="0" w:line="240" w:lineRule="auto"/>
              <w:ind w:left="0"/>
              <w:jc w:val="center"/>
              <w:rPr>
                <w:rFonts w:cs="Tahoma"/>
              </w:rPr>
            </w:pPr>
            <w:r w:rsidRPr="00477023">
              <w:rPr>
                <w:rFonts w:cs="Tahoma"/>
              </w:rPr>
              <w:t>100%</w:t>
            </w:r>
          </w:p>
        </w:tc>
      </w:tr>
    </w:tbl>
    <w:p w:rsidR="00722367" w:rsidRPr="00722367" w:rsidRDefault="00722367" w:rsidP="00722367">
      <w:pPr>
        <w:pStyle w:val="ListParagraph"/>
        <w:rPr>
          <w:rFonts w:cs="Tahoma"/>
        </w:rPr>
      </w:pPr>
    </w:p>
    <w:p w:rsidR="00DF6EF7" w:rsidRDefault="00DF6EF7" w:rsidP="00DF6EF7">
      <w:pPr>
        <w:pStyle w:val="ListParagraph"/>
        <w:numPr>
          <w:ilvl w:val="1"/>
          <w:numId w:val="15"/>
        </w:numPr>
        <w:rPr>
          <w:rFonts w:cs="Tahoma"/>
        </w:rPr>
      </w:pPr>
      <w:r>
        <w:rPr>
          <w:rFonts w:cs="Tahoma"/>
        </w:rPr>
        <w:t xml:space="preserve">Monthly Uptime  Service Level  </w:t>
      </w:r>
    </w:p>
    <w:p w:rsidR="00DF6EF7" w:rsidRDefault="00DF6EF7" w:rsidP="00DF6EF7">
      <w:pPr>
        <w:pStyle w:val="ListParagraph"/>
        <w:numPr>
          <w:ilvl w:val="2"/>
          <w:numId w:val="15"/>
        </w:numPr>
        <w:rPr>
          <w:rFonts w:cs="Tahoma"/>
        </w:rPr>
      </w:pPr>
      <w:r>
        <w:rPr>
          <w:rFonts w:cs="Tahoma"/>
        </w:rPr>
        <w:t>Definitions</w:t>
      </w:r>
    </w:p>
    <w:p w:rsidR="00DF6EF7" w:rsidRPr="00347DEC" w:rsidRDefault="006D6167" w:rsidP="00DF6EF7">
      <w:pPr>
        <w:pStyle w:val="ListParagraph"/>
        <w:numPr>
          <w:ilvl w:val="3"/>
          <w:numId w:val="15"/>
        </w:numPr>
        <w:rPr>
          <w:rFonts w:cs="Tahoma"/>
        </w:rPr>
      </w:pPr>
      <w:r w:rsidRPr="001E00E6">
        <w:rPr>
          <w:rFonts w:cs="Segoe UI"/>
        </w:rPr>
        <w:t xml:space="preserve">“Downtime” is defined as any period of time when end users are unable to </w:t>
      </w:r>
      <w:r w:rsidR="00D30C13" w:rsidRPr="00D30C13">
        <w:rPr>
          <w:rFonts w:cs="Segoe UI"/>
        </w:rPr>
        <w:t>log in</w:t>
      </w:r>
      <w:r w:rsidRPr="001E00E6">
        <w:rPr>
          <w:rFonts w:cs="Segoe UI"/>
        </w:rPr>
        <w:t xml:space="preserve"> and view messages within the Exchange Hosted Archive </w:t>
      </w:r>
      <w:r w:rsidR="001E00E6">
        <w:rPr>
          <w:rFonts w:cs="Segoe UI"/>
        </w:rPr>
        <w:t>V</w:t>
      </w:r>
      <w:r w:rsidRPr="001E00E6">
        <w:rPr>
          <w:rFonts w:cs="Segoe UI"/>
        </w:rPr>
        <w:t>iewer</w:t>
      </w:r>
      <w:r w:rsidR="00D30C13" w:rsidRPr="00D30C13">
        <w:rPr>
          <w:rFonts w:cs="Segoe UI"/>
        </w:rPr>
        <w:t>.</w:t>
      </w:r>
      <w:r w:rsidR="00DF6EF7">
        <w:rPr>
          <w:rFonts w:cs="Segoe UI"/>
        </w:rPr>
        <w:t xml:space="preserve">  </w:t>
      </w:r>
      <w:r w:rsidR="00DF6EF7" w:rsidRPr="007E65A7">
        <w:rPr>
          <w:rFonts w:cs="Segoe UI"/>
        </w:rPr>
        <w:t xml:space="preserve">Downtime does not include the period of time when the </w:t>
      </w:r>
      <w:r w:rsidR="00DF6EF7">
        <w:rPr>
          <w:rFonts w:cs="Segoe UI"/>
        </w:rPr>
        <w:t xml:space="preserve">Service </w:t>
      </w:r>
      <w:r w:rsidR="00DF6EF7" w:rsidRPr="007E65A7">
        <w:rPr>
          <w:rFonts w:cs="Segoe UI"/>
        </w:rPr>
        <w:t>is not available as a result of</w:t>
      </w:r>
      <w:r w:rsidR="00DF6EF7" w:rsidRPr="008A73C5">
        <w:rPr>
          <w:rFonts w:cs="Segoe UI"/>
          <w:b/>
        </w:rPr>
        <w:t xml:space="preserve">: </w:t>
      </w:r>
      <w:r w:rsidR="00DF6EF7" w:rsidRPr="007E65A7">
        <w:rPr>
          <w:rFonts w:cs="Segoe UI"/>
        </w:rPr>
        <w:t xml:space="preserve">(i) </w:t>
      </w:r>
      <w:r w:rsidR="00DF6EF7" w:rsidRPr="003B0073">
        <w:rPr>
          <w:rFonts w:cs="Segoe UI"/>
        </w:rPr>
        <w:t>Scheduled Downtime</w:t>
      </w:r>
      <w:r w:rsidR="00DF6EF7">
        <w:rPr>
          <w:rFonts w:cs="Segoe UI"/>
        </w:rPr>
        <w:t xml:space="preserve"> or </w:t>
      </w:r>
      <w:r w:rsidR="00DF6EF7" w:rsidRPr="007E65A7">
        <w:rPr>
          <w:rFonts w:cs="Segoe UI"/>
        </w:rPr>
        <w:t>s</w:t>
      </w:r>
      <w:r w:rsidR="00DF6EF7">
        <w:rPr>
          <w:rFonts w:cs="Segoe UI"/>
        </w:rPr>
        <w:t>cheduled network, hardware, or S</w:t>
      </w:r>
      <w:r w:rsidR="00DF6EF7" w:rsidRPr="007E65A7">
        <w:rPr>
          <w:rFonts w:cs="Segoe UI"/>
        </w:rPr>
        <w:t xml:space="preserve">ervice maintenance or upgrades; or (ii) the acts or omissions of </w:t>
      </w:r>
      <w:r w:rsidR="00DF6EF7">
        <w:rPr>
          <w:rFonts w:cs="Segoe UI"/>
        </w:rPr>
        <w:t xml:space="preserve">Customer </w:t>
      </w:r>
      <w:r w:rsidR="00DF6EF7" w:rsidRPr="007E65A7">
        <w:rPr>
          <w:rFonts w:cs="Segoe UI"/>
        </w:rPr>
        <w:t xml:space="preserve">or </w:t>
      </w:r>
      <w:r w:rsidR="00DF6EF7">
        <w:rPr>
          <w:rFonts w:cs="Segoe UI"/>
        </w:rPr>
        <w:t>Customer</w:t>
      </w:r>
      <w:r w:rsidR="00DF6EF7" w:rsidRPr="007E65A7">
        <w:rPr>
          <w:rFonts w:cs="Segoe UI"/>
        </w:rPr>
        <w:t>’s employees, agents, contracto</w:t>
      </w:r>
      <w:r w:rsidR="00DF6EF7">
        <w:rPr>
          <w:rFonts w:cs="Segoe UI"/>
        </w:rPr>
        <w:t xml:space="preserve">rs, or vendors, or anyone </w:t>
      </w:r>
      <w:r w:rsidR="00DF6EF7" w:rsidRPr="007E65A7">
        <w:rPr>
          <w:rFonts w:cs="Segoe UI"/>
        </w:rPr>
        <w:t xml:space="preserve">gaining access to </w:t>
      </w:r>
      <w:r w:rsidR="00DF6EF7">
        <w:rPr>
          <w:rFonts w:cs="Segoe UI"/>
        </w:rPr>
        <w:t>Microsoft’s</w:t>
      </w:r>
      <w:r w:rsidR="00DF6EF7" w:rsidRPr="007E65A7">
        <w:rPr>
          <w:rFonts w:cs="Segoe UI"/>
        </w:rPr>
        <w:t xml:space="preserve"> network by means of </w:t>
      </w:r>
      <w:r w:rsidR="00DF6EF7">
        <w:rPr>
          <w:rFonts w:cs="Segoe UI"/>
        </w:rPr>
        <w:t>Customer</w:t>
      </w:r>
      <w:r w:rsidR="00DF6EF7" w:rsidRPr="007E65A7">
        <w:rPr>
          <w:rFonts w:cs="Segoe UI"/>
        </w:rPr>
        <w:t>’s passwords or equipment</w:t>
      </w:r>
      <w:r w:rsidR="00DF6EF7">
        <w:rPr>
          <w:rFonts w:cs="Segoe UI"/>
        </w:rPr>
        <w:t xml:space="preserve">. </w:t>
      </w:r>
    </w:p>
    <w:p w:rsidR="00DF6EF7" w:rsidRPr="008859D6" w:rsidRDefault="00DF6EF7" w:rsidP="00DF6EF7">
      <w:pPr>
        <w:pStyle w:val="ListParagraph"/>
        <w:numPr>
          <w:ilvl w:val="3"/>
          <w:numId w:val="15"/>
        </w:numPr>
        <w:rPr>
          <w:rFonts w:cs="Tahoma"/>
        </w:rPr>
      </w:pPr>
      <w:r w:rsidRPr="004E585F">
        <w:rPr>
          <w:rFonts w:cs="Tahoma"/>
        </w:rPr>
        <w:t xml:space="preserve"> </w:t>
      </w:r>
      <w:r w:rsidRPr="008859D6">
        <w:rPr>
          <w:rFonts w:cs="Tahoma"/>
        </w:rPr>
        <w:t xml:space="preserve">“Scheduled Downtime” </w:t>
      </w:r>
      <w:r>
        <w:rPr>
          <w:rFonts w:cs="Tahoma"/>
        </w:rPr>
        <w:t>is defined as</w:t>
      </w:r>
      <w:r w:rsidRPr="008859D6">
        <w:rPr>
          <w:rFonts w:cs="Tahoma"/>
        </w:rPr>
        <w:t xml:space="preserve"> those times where Microsoft notifies </w:t>
      </w:r>
      <w:r>
        <w:rPr>
          <w:rFonts w:cs="Tahoma"/>
        </w:rPr>
        <w:t>C</w:t>
      </w:r>
      <w:r w:rsidRPr="008859D6">
        <w:rPr>
          <w:rFonts w:cs="Tahoma"/>
        </w:rPr>
        <w:t>ustomer of p</w:t>
      </w:r>
      <w:r>
        <w:rPr>
          <w:rFonts w:cs="Tahoma"/>
        </w:rPr>
        <w:t>eriods of Downtime at least</w:t>
      </w:r>
      <w:r w:rsidRPr="008859D6">
        <w:rPr>
          <w:rFonts w:cs="Tahoma"/>
        </w:rPr>
        <w:t xml:space="preserve"> three days prior to the commencement of such Downtime. Scheduled Downtime is not considered Downtime for purposes of this SLA, and will not be counted towards any Downtime Periods. </w:t>
      </w:r>
    </w:p>
    <w:p w:rsidR="00DF6EF7" w:rsidRPr="002F3D7B" w:rsidRDefault="00DF6EF7" w:rsidP="00DF6EF7">
      <w:pPr>
        <w:pStyle w:val="ListParagraph"/>
        <w:numPr>
          <w:ilvl w:val="3"/>
          <w:numId w:val="15"/>
        </w:numPr>
        <w:rPr>
          <w:rFonts w:cs="Tahoma"/>
        </w:rPr>
      </w:pPr>
      <w:r>
        <w:rPr>
          <w:rFonts w:cs="Tahoma"/>
        </w:rPr>
        <w:t>“</w:t>
      </w:r>
      <w:r w:rsidRPr="00B16DFF">
        <w:rPr>
          <w:rFonts w:cs="Tahoma"/>
        </w:rPr>
        <w:t xml:space="preserve">Monthly </w:t>
      </w:r>
      <w:r w:rsidRPr="00B16DFF">
        <w:rPr>
          <w:rFonts w:cs="Segoe UI"/>
        </w:rPr>
        <w:t>Uptime Percentage</w:t>
      </w:r>
      <w:r>
        <w:rPr>
          <w:rFonts w:cs="Segoe UI"/>
        </w:rPr>
        <w:t>” for a specific C</w:t>
      </w:r>
      <w:r w:rsidRPr="00B16DFF">
        <w:rPr>
          <w:rFonts w:cs="Segoe UI"/>
        </w:rPr>
        <w:t xml:space="preserve">ustomer is calculated by taking the total number of minutes in a calendar month </w:t>
      </w:r>
      <w:r>
        <w:rPr>
          <w:rFonts w:cs="Segoe UI"/>
        </w:rPr>
        <w:t xml:space="preserve">multiplied by the total number of licensed users </w:t>
      </w:r>
      <w:r w:rsidRPr="00B16DFF">
        <w:rPr>
          <w:rFonts w:cs="Segoe UI"/>
        </w:rPr>
        <w:t xml:space="preserve">minus the </w:t>
      </w:r>
      <w:r>
        <w:rPr>
          <w:rFonts w:cs="Segoe UI"/>
        </w:rPr>
        <w:t xml:space="preserve">total </w:t>
      </w:r>
      <w:r w:rsidRPr="00B16DFF">
        <w:rPr>
          <w:rFonts w:cs="Segoe UI"/>
        </w:rPr>
        <w:t xml:space="preserve">number of minutes of Downtime </w:t>
      </w:r>
      <w:r>
        <w:rPr>
          <w:rFonts w:cs="Segoe UI"/>
        </w:rPr>
        <w:t xml:space="preserve">experienced by all users </w:t>
      </w:r>
      <w:r w:rsidRPr="00B16DFF">
        <w:rPr>
          <w:rFonts w:cs="Segoe UI"/>
        </w:rPr>
        <w:t xml:space="preserve">in a given calendar month, </w:t>
      </w:r>
      <w:r>
        <w:rPr>
          <w:rFonts w:cs="Segoe UI"/>
        </w:rPr>
        <w:t xml:space="preserve">all </w:t>
      </w:r>
      <w:r w:rsidRPr="00B16DFF">
        <w:rPr>
          <w:rFonts w:cs="Segoe UI"/>
        </w:rPr>
        <w:t xml:space="preserve">divided by the total number of minutes in </w:t>
      </w:r>
      <w:r w:rsidRPr="00B16DFF">
        <w:rPr>
          <w:rFonts w:cs="Segoe UI"/>
        </w:rPr>
        <w:lastRenderedPageBreak/>
        <w:t>that calendar month</w:t>
      </w:r>
      <w:r>
        <w:rPr>
          <w:rFonts w:cs="Segoe UI"/>
        </w:rPr>
        <w:t xml:space="preserve"> multiplied by the total number of users.   This is reflected in the following formula:</w:t>
      </w:r>
    </w:p>
    <w:p w:rsidR="00DF6EF7" w:rsidRPr="00377B81" w:rsidRDefault="00DF6EF7" w:rsidP="00DF6EF7">
      <w:pPr>
        <w:pStyle w:val="ListParagraph"/>
        <w:ind w:left="2880"/>
        <w:rPr>
          <w:rFonts w:cs="Tahoma"/>
        </w:rPr>
      </w:pPr>
    </w:p>
    <w:p w:rsidR="00DF6EF7" w:rsidRDefault="00CE1666" w:rsidP="00DF6EF7">
      <w:pPr>
        <w:pStyle w:val="ListParagraph"/>
        <w:ind w:left="2880"/>
        <w:rPr>
          <w:rFonts w:cs="Tahoma"/>
        </w:rPr>
      </w:pPr>
      <w:r>
        <w:rPr>
          <w:rFonts w:cs="Tahoma"/>
          <w:noProof/>
        </w:rPr>
        <w:drawing>
          <wp:inline distT="0" distB="0" distL="0" distR="0">
            <wp:extent cx="3219450" cy="762000"/>
            <wp:effectExtent l="0" t="0" r="0" b="0"/>
            <wp:docPr id="2"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38600" cy="1030224"/>
                      <a:chOff x="1447800" y="2703576"/>
                      <a:chExt cx="4038600" cy="1030224"/>
                    </a:xfrm>
                  </a:grpSpPr>
                  <a:grpSp>
                    <a:nvGrpSpPr>
                      <a:cNvPr id="20" name="Group 19"/>
                      <a:cNvGrpSpPr/>
                    </a:nvGrpSpPr>
                    <a:grpSpPr>
                      <a:xfrm>
                        <a:off x="1447800" y="2703576"/>
                        <a:ext cx="4038600" cy="1030224"/>
                        <a:chOff x="1447800" y="2703576"/>
                        <a:chExt cx="4038600" cy="1030224"/>
                      </a:xfrm>
                    </a:grpSpPr>
                    <a:sp>
                      <a:nvSpPr>
                        <a:cNvPr id="4" name="TextBox 3"/>
                        <a:cNvSpPr txBox="1"/>
                      </a:nvSpPr>
                      <a:spPr>
                        <a:xfrm>
                          <a:off x="1447800" y="2743200"/>
                          <a:ext cx="1371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minutes in a month</a:t>
                            </a:r>
                            <a:endParaRPr lang="en-US" sz="1100" dirty="0"/>
                          </a:p>
                        </a:txBody>
                        <a:useSpRect/>
                      </a:txSp>
                    </a:sp>
                    <a:sp>
                      <a:nvSpPr>
                        <a:cNvPr id="5" name="TextBox 4"/>
                        <a:cNvSpPr txBox="1"/>
                      </a:nvSpPr>
                      <a:spPr>
                        <a:xfrm>
                          <a:off x="2636520" y="2846832"/>
                          <a:ext cx="3048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X</a:t>
                            </a:r>
                            <a:endParaRPr lang="en-US" sz="1100" dirty="0"/>
                          </a:p>
                        </a:txBody>
                        <a:useSpRect/>
                      </a:txSp>
                    </a:sp>
                    <a:sp>
                      <a:nvSpPr>
                        <a:cNvPr id="6" name="TextBox 5"/>
                        <a:cNvSpPr txBox="1"/>
                      </a:nvSpPr>
                      <a:spPr>
                        <a:xfrm>
                          <a:off x="2743200" y="2769513"/>
                          <a:ext cx="990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users</a:t>
                            </a:r>
                            <a:endParaRPr lang="en-US" sz="1100" dirty="0"/>
                          </a:p>
                        </a:txBody>
                        <a:useSpRect/>
                      </a:txSp>
                    </a:sp>
                    <a:cxnSp>
                      <a:nvCxnSpPr>
                        <a:cNvPr id="9" name="Straight Connector 8"/>
                        <a:cNvCxnSpPr/>
                      </a:nvCxnSpPr>
                      <a:spPr>
                        <a:xfrm>
                          <a:off x="3657600" y="2971800"/>
                          <a:ext cx="76200" cy="1588"/>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3733800" y="2703576"/>
                          <a:ext cx="1752600" cy="6001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minutes of Downtime experienced by all users in that month</a:t>
                            </a:r>
                            <a:endParaRPr lang="en-US" sz="1100" dirty="0"/>
                          </a:p>
                        </a:txBody>
                        <a:useSpRect/>
                      </a:txSp>
                    </a:sp>
                    <a:cxnSp>
                      <a:nvCxnSpPr>
                        <a:cNvPr id="13" name="Straight Connector 12"/>
                        <a:cNvCxnSpPr/>
                      </a:nvCxnSpPr>
                      <a:spPr>
                        <a:xfrm>
                          <a:off x="1600200" y="3276600"/>
                          <a:ext cx="37338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2286000" y="3302913"/>
                          <a:ext cx="1371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minutes in a month</a:t>
                            </a:r>
                            <a:endParaRPr lang="en-US" sz="1100" dirty="0"/>
                          </a:p>
                        </a:txBody>
                        <a:useSpRect/>
                      </a:txSp>
                    </a:sp>
                    <a:sp>
                      <a:nvSpPr>
                        <a:cNvPr id="15" name="TextBox 14"/>
                        <a:cNvSpPr txBox="1"/>
                      </a:nvSpPr>
                      <a:spPr>
                        <a:xfrm>
                          <a:off x="3505200" y="3380601"/>
                          <a:ext cx="3048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X</a:t>
                            </a:r>
                            <a:endParaRPr lang="en-US" sz="1100" dirty="0"/>
                          </a:p>
                        </a:txBody>
                        <a:useSpRect/>
                      </a:txSp>
                    </a:sp>
                    <a:sp>
                      <a:nvSpPr>
                        <a:cNvPr id="16" name="TextBox 15"/>
                        <a:cNvSpPr txBox="1"/>
                      </a:nvSpPr>
                      <a:spPr>
                        <a:xfrm>
                          <a:off x="3657600" y="3302913"/>
                          <a:ext cx="990600" cy="43088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dirty="0" smtClean="0"/>
                              <a:t>Total number of users</a:t>
                            </a:r>
                            <a:endParaRPr lang="en-US" sz="1100" dirty="0"/>
                          </a:p>
                        </a:txBody>
                        <a:useSpRect/>
                      </a:txSp>
                    </a:sp>
                  </a:grpSp>
                </lc:lockedCanvas>
              </a:graphicData>
            </a:graphic>
          </wp:inline>
        </w:drawing>
      </w:r>
    </w:p>
    <w:p w:rsidR="00DF6EF7" w:rsidRPr="00377B81" w:rsidRDefault="00DF6EF7" w:rsidP="00DF6EF7">
      <w:pPr>
        <w:pStyle w:val="ListParagraph"/>
        <w:ind w:left="2880"/>
        <w:rPr>
          <w:rFonts w:cs="Tahoma"/>
        </w:rPr>
      </w:pPr>
    </w:p>
    <w:p w:rsidR="00DF6EF7" w:rsidRDefault="00DF6EF7" w:rsidP="00DF6EF7">
      <w:pPr>
        <w:pStyle w:val="ListParagraph"/>
        <w:numPr>
          <w:ilvl w:val="2"/>
          <w:numId w:val="15"/>
        </w:numPr>
        <w:rPr>
          <w:rFonts w:cs="Tahoma"/>
        </w:rPr>
      </w:pPr>
      <w:r>
        <w:rPr>
          <w:rFonts w:cs="Tahoma"/>
        </w:rPr>
        <w:t>Uptime Service Levels</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4"/>
        <w:gridCol w:w="4032"/>
      </w:tblGrid>
      <w:tr w:rsidR="00DF6EF7" w:rsidRPr="00477023" w:rsidTr="00867F3C">
        <w:tc>
          <w:tcPr>
            <w:tcW w:w="4104" w:type="dxa"/>
            <w:shd w:val="clear" w:color="auto" w:fill="D9D9D9"/>
          </w:tcPr>
          <w:p w:rsidR="00DF6EF7" w:rsidRPr="00477023" w:rsidRDefault="00DF6EF7" w:rsidP="00867F3C">
            <w:pPr>
              <w:pStyle w:val="ListParagraph"/>
              <w:spacing w:after="0" w:line="240" w:lineRule="auto"/>
              <w:ind w:left="0"/>
              <w:jc w:val="center"/>
              <w:rPr>
                <w:rFonts w:cs="Tahoma"/>
              </w:rPr>
            </w:pPr>
            <w:r w:rsidRPr="00477023">
              <w:rPr>
                <w:rFonts w:cs="Tahoma"/>
              </w:rPr>
              <w:t>Monthly Uptime Percentage</w:t>
            </w:r>
          </w:p>
        </w:tc>
        <w:tc>
          <w:tcPr>
            <w:tcW w:w="4032" w:type="dxa"/>
            <w:shd w:val="clear" w:color="auto" w:fill="D9D9D9"/>
          </w:tcPr>
          <w:p w:rsidR="00DF6EF7" w:rsidRPr="00477023" w:rsidRDefault="00DF6EF7" w:rsidP="00867F3C">
            <w:pPr>
              <w:pStyle w:val="ListParagraph"/>
              <w:spacing w:after="0" w:line="240" w:lineRule="auto"/>
              <w:ind w:left="0"/>
              <w:jc w:val="center"/>
              <w:rPr>
                <w:rFonts w:cs="Tahoma"/>
              </w:rPr>
            </w:pPr>
            <w:r w:rsidRPr="00477023">
              <w:rPr>
                <w:rFonts w:cs="Tahoma"/>
              </w:rPr>
              <w:t>Service Credit</w:t>
            </w:r>
          </w:p>
        </w:tc>
      </w:tr>
      <w:tr w:rsidR="00DF6EF7" w:rsidRPr="00477023" w:rsidTr="00867F3C">
        <w:tc>
          <w:tcPr>
            <w:tcW w:w="4104" w:type="dxa"/>
          </w:tcPr>
          <w:p w:rsidR="00DF6EF7" w:rsidRPr="00477023" w:rsidRDefault="00DF6EF7" w:rsidP="00867F3C">
            <w:pPr>
              <w:pStyle w:val="ListParagraph"/>
              <w:spacing w:after="0" w:line="240" w:lineRule="auto"/>
              <w:ind w:left="0"/>
              <w:jc w:val="center"/>
              <w:rPr>
                <w:rFonts w:cs="Tahoma"/>
              </w:rPr>
            </w:pPr>
            <w:r w:rsidRPr="00477023">
              <w:rPr>
                <w:rFonts w:cs="Tahoma"/>
              </w:rPr>
              <w:t xml:space="preserve"> &lt;</w:t>
            </w:r>
            <w:r>
              <w:rPr>
                <w:rFonts w:cs="Tahoma"/>
              </w:rPr>
              <w:t xml:space="preserve"> </w:t>
            </w:r>
            <w:r w:rsidRPr="00477023">
              <w:rPr>
                <w:rFonts w:cs="Tahoma"/>
              </w:rPr>
              <w:t>99.9%</w:t>
            </w:r>
          </w:p>
        </w:tc>
        <w:tc>
          <w:tcPr>
            <w:tcW w:w="4032" w:type="dxa"/>
          </w:tcPr>
          <w:p w:rsidR="00DF6EF7" w:rsidRPr="00477023" w:rsidRDefault="00DF6EF7" w:rsidP="00867F3C">
            <w:pPr>
              <w:pStyle w:val="ListParagraph"/>
              <w:spacing w:after="0" w:line="240" w:lineRule="auto"/>
              <w:ind w:left="0"/>
              <w:jc w:val="center"/>
              <w:rPr>
                <w:rFonts w:cs="Tahoma"/>
              </w:rPr>
            </w:pPr>
            <w:r>
              <w:rPr>
                <w:rFonts w:cs="Tahoma"/>
              </w:rPr>
              <w:t>25</w:t>
            </w:r>
            <w:r w:rsidRPr="00477023">
              <w:rPr>
                <w:rFonts w:cs="Tahoma"/>
              </w:rPr>
              <w:t>%</w:t>
            </w:r>
          </w:p>
        </w:tc>
      </w:tr>
      <w:tr w:rsidR="00DF6EF7" w:rsidRPr="00477023" w:rsidTr="00867F3C">
        <w:tc>
          <w:tcPr>
            <w:tcW w:w="4104" w:type="dxa"/>
          </w:tcPr>
          <w:p w:rsidR="00DF6EF7" w:rsidRPr="00477023" w:rsidRDefault="00DF6EF7" w:rsidP="00867F3C">
            <w:pPr>
              <w:pStyle w:val="ListParagraph"/>
              <w:spacing w:after="0" w:line="240" w:lineRule="auto"/>
              <w:ind w:left="0"/>
              <w:jc w:val="center"/>
              <w:rPr>
                <w:rFonts w:cs="Tahoma"/>
              </w:rPr>
            </w:pPr>
            <w:r w:rsidRPr="00477023">
              <w:rPr>
                <w:rFonts w:cs="Tahoma"/>
              </w:rPr>
              <w:t xml:space="preserve"> &lt;</w:t>
            </w:r>
            <w:r>
              <w:rPr>
                <w:rFonts w:cs="Tahoma"/>
              </w:rPr>
              <w:t xml:space="preserve"> </w:t>
            </w:r>
            <w:r w:rsidRPr="00477023">
              <w:rPr>
                <w:rFonts w:cs="Tahoma"/>
              </w:rPr>
              <w:t>99%</w:t>
            </w:r>
          </w:p>
        </w:tc>
        <w:tc>
          <w:tcPr>
            <w:tcW w:w="4032" w:type="dxa"/>
          </w:tcPr>
          <w:p w:rsidR="00DF6EF7" w:rsidRPr="00477023" w:rsidRDefault="00DF6EF7" w:rsidP="00867F3C">
            <w:pPr>
              <w:pStyle w:val="ListParagraph"/>
              <w:spacing w:after="0" w:line="240" w:lineRule="auto"/>
              <w:ind w:left="0"/>
              <w:jc w:val="center"/>
              <w:rPr>
                <w:rFonts w:cs="Tahoma"/>
              </w:rPr>
            </w:pPr>
            <w:r w:rsidRPr="00477023">
              <w:rPr>
                <w:rFonts w:cs="Tahoma"/>
              </w:rPr>
              <w:t>5</w:t>
            </w:r>
            <w:r>
              <w:rPr>
                <w:rFonts w:cs="Tahoma"/>
              </w:rPr>
              <w:t>0</w:t>
            </w:r>
            <w:r w:rsidRPr="00477023">
              <w:rPr>
                <w:rFonts w:cs="Tahoma"/>
              </w:rPr>
              <w:t>%</w:t>
            </w:r>
          </w:p>
        </w:tc>
      </w:tr>
      <w:tr w:rsidR="00DF6EF7" w:rsidRPr="00477023" w:rsidTr="00867F3C">
        <w:tc>
          <w:tcPr>
            <w:tcW w:w="4104" w:type="dxa"/>
          </w:tcPr>
          <w:p w:rsidR="00DF6EF7" w:rsidRPr="00477023" w:rsidRDefault="00DF6EF7" w:rsidP="00867F3C">
            <w:pPr>
              <w:pStyle w:val="ListParagraph"/>
              <w:spacing w:after="0" w:line="240" w:lineRule="auto"/>
              <w:ind w:left="0"/>
              <w:jc w:val="center"/>
              <w:rPr>
                <w:rFonts w:cs="Tahoma"/>
              </w:rPr>
            </w:pPr>
            <w:r w:rsidRPr="00477023">
              <w:rPr>
                <w:rFonts w:cs="Tahoma"/>
              </w:rPr>
              <w:t>&lt;</w:t>
            </w:r>
            <w:r>
              <w:rPr>
                <w:rFonts w:cs="Tahoma"/>
              </w:rPr>
              <w:t xml:space="preserve"> </w:t>
            </w:r>
            <w:r w:rsidRPr="00477023">
              <w:rPr>
                <w:rFonts w:cs="Tahoma"/>
              </w:rPr>
              <w:t>95%</w:t>
            </w:r>
          </w:p>
        </w:tc>
        <w:tc>
          <w:tcPr>
            <w:tcW w:w="4032" w:type="dxa"/>
          </w:tcPr>
          <w:p w:rsidR="00DF6EF7" w:rsidRPr="00477023" w:rsidRDefault="00DF6EF7" w:rsidP="00867F3C">
            <w:pPr>
              <w:pStyle w:val="ListParagraph"/>
              <w:spacing w:after="0" w:line="240" w:lineRule="auto"/>
              <w:ind w:left="0"/>
              <w:jc w:val="center"/>
              <w:rPr>
                <w:rFonts w:cs="Tahoma"/>
              </w:rPr>
            </w:pPr>
            <w:r w:rsidRPr="00477023">
              <w:rPr>
                <w:rFonts w:cs="Tahoma"/>
              </w:rPr>
              <w:t>100%</w:t>
            </w:r>
          </w:p>
        </w:tc>
      </w:tr>
    </w:tbl>
    <w:p w:rsidR="00DF6EF7" w:rsidRPr="00960122" w:rsidRDefault="00DF6EF7" w:rsidP="00DF6EF7">
      <w:pPr>
        <w:ind w:left="720"/>
        <w:rPr>
          <w:rFonts w:cs="Tahoma"/>
          <w:b/>
          <w:i/>
        </w:rPr>
      </w:pPr>
    </w:p>
    <w:p w:rsidR="008F4DC6" w:rsidRPr="00376E9B" w:rsidRDefault="008F4DC6" w:rsidP="008F4DC6">
      <w:pPr>
        <w:pStyle w:val="ListParagraph"/>
        <w:ind w:left="2160"/>
        <w:rPr>
          <w:rFonts w:cs="Tahoma"/>
        </w:rPr>
      </w:pPr>
    </w:p>
    <w:sectPr w:rsidR="008F4DC6" w:rsidRPr="00376E9B" w:rsidSect="00BC772D">
      <w:footerReference w:type="even" r:id="rId13"/>
      <w:footerReference w:type="defaul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66" w:rsidRDefault="00CE1666" w:rsidP="00EB27DD">
      <w:pPr>
        <w:spacing w:after="0" w:line="240" w:lineRule="auto"/>
      </w:pPr>
      <w:r>
        <w:separator/>
      </w:r>
    </w:p>
  </w:endnote>
  <w:endnote w:type="continuationSeparator" w:id="0">
    <w:p w:rsidR="00CE1666" w:rsidRDefault="00CE1666" w:rsidP="00EB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3C" w:rsidRPr="00EB27DD" w:rsidRDefault="00867F3C">
    <w:pPr>
      <w:pStyle w:val="Footer"/>
    </w:pPr>
    <w:r w:rsidRPr="004B5937">
      <w:t>{00874832.DOC;2}</w:t>
    </w:r>
    <w:r w:rsidRPr="00AE6E36">
      <w:t>{00874832.DOC;1}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3C" w:rsidRPr="00454082" w:rsidRDefault="00867F3C">
    <w:pPr>
      <w:pStyle w:val="Footer"/>
    </w:pPr>
    <w:r w:rsidRPr="004B5937">
      <w:t>{00874832.DOC;2}</w:t>
    </w:r>
    <w:r w:rsidRPr="00AE6E36">
      <w:t>{00874832.DOC;1}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3C" w:rsidRPr="00EB27DD" w:rsidRDefault="00867F3C">
    <w:pPr>
      <w:pStyle w:val="Footer"/>
    </w:pPr>
    <w:r w:rsidRPr="004B5937">
      <w:t>{00874832.DOC;2}</w:t>
    </w:r>
    <w:r w:rsidRPr="00AE6E36">
      <w:t>{00874832.DOC;1}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66" w:rsidRDefault="00CE1666" w:rsidP="00EB27DD">
      <w:pPr>
        <w:spacing w:after="0" w:line="240" w:lineRule="auto"/>
      </w:pPr>
      <w:r>
        <w:separator/>
      </w:r>
    </w:p>
  </w:footnote>
  <w:footnote w:type="continuationSeparator" w:id="0">
    <w:p w:rsidR="00CE1666" w:rsidRDefault="00CE1666" w:rsidP="00EB2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34D3B6"/>
    <w:lvl w:ilvl="0">
      <w:start w:val="1"/>
      <w:numFmt w:val="decimal"/>
      <w:lvlText w:val="%1."/>
      <w:lvlJc w:val="left"/>
      <w:pPr>
        <w:tabs>
          <w:tab w:val="num" w:pos="1800"/>
        </w:tabs>
        <w:ind w:left="1800" w:hanging="360"/>
      </w:pPr>
    </w:lvl>
  </w:abstractNum>
  <w:abstractNum w:abstractNumId="1">
    <w:nsid w:val="FFFFFF7D"/>
    <w:multiLevelType w:val="singleLevel"/>
    <w:tmpl w:val="FAF8A752"/>
    <w:lvl w:ilvl="0">
      <w:start w:val="1"/>
      <w:numFmt w:val="decimal"/>
      <w:lvlText w:val="%1."/>
      <w:lvlJc w:val="left"/>
      <w:pPr>
        <w:tabs>
          <w:tab w:val="num" w:pos="1440"/>
        </w:tabs>
        <w:ind w:left="1440" w:hanging="360"/>
      </w:pPr>
    </w:lvl>
  </w:abstractNum>
  <w:abstractNum w:abstractNumId="2">
    <w:nsid w:val="FFFFFF7E"/>
    <w:multiLevelType w:val="singleLevel"/>
    <w:tmpl w:val="982C643A"/>
    <w:lvl w:ilvl="0">
      <w:start w:val="1"/>
      <w:numFmt w:val="decimal"/>
      <w:lvlText w:val="%1."/>
      <w:lvlJc w:val="left"/>
      <w:pPr>
        <w:tabs>
          <w:tab w:val="num" w:pos="1080"/>
        </w:tabs>
        <w:ind w:left="1080" w:hanging="360"/>
      </w:pPr>
    </w:lvl>
  </w:abstractNum>
  <w:abstractNum w:abstractNumId="3">
    <w:nsid w:val="FFFFFF7F"/>
    <w:multiLevelType w:val="singleLevel"/>
    <w:tmpl w:val="8174DF6A"/>
    <w:lvl w:ilvl="0">
      <w:start w:val="1"/>
      <w:numFmt w:val="decimal"/>
      <w:lvlText w:val="%1."/>
      <w:lvlJc w:val="left"/>
      <w:pPr>
        <w:tabs>
          <w:tab w:val="num" w:pos="720"/>
        </w:tabs>
        <w:ind w:left="720" w:hanging="360"/>
      </w:pPr>
    </w:lvl>
  </w:abstractNum>
  <w:abstractNum w:abstractNumId="4">
    <w:nsid w:val="FFFFFF80"/>
    <w:multiLevelType w:val="singleLevel"/>
    <w:tmpl w:val="38E053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074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5DE17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2F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5AB76C"/>
    <w:lvl w:ilvl="0">
      <w:start w:val="1"/>
      <w:numFmt w:val="decimal"/>
      <w:lvlText w:val="%1."/>
      <w:lvlJc w:val="left"/>
      <w:pPr>
        <w:tabs>
          <w:tab w:val="num" w:pos="360"/>
        </w:tabs>
        <w:ind w:left="360" w:hanging="360"/>
      </w:pPr>
    </w:lvl>
  </w:abstractNum>
  <w:abstractNum w:abstractNumId="9">
    <w:nsid w:val="FFFFFF89"/>
    <w:multiLevelType w:val="singleLevel"/>
    <w:tmpl w:val="06A894EA"/>
    <w:lvl w:ilvl="0">
      <w:start w:val="1"/>
      <w:numFmt w:val="bullet"/>
      <w:lvlText w:val=""/>
      <w:lvlJc w:val="left"/>
      <w:pPr>
        <w:tabs>
          <w:tab w:val="num" w:pos="360"/>
        </w:tabs>
        <w:ind w:left="360" w:hanging="360"/>
      </w:pPr>
      <w:rPr>
        <w:rFonts w:ascii="Symbol" w:hAnsi="Symbol" w:hint="default"/>
      </w:rPr>
    </w:lvl>
  </w:abstractNum>
  <w:abstractNum w:abstractNumId="10">
    <w:nsid w:val="1F665391"/>
    <w:multiLevelType w:val="hybridMultilevel"/>
    <w:tmpl w:val="14127D30"/>
    <w:lvl w:ilvl="0" w:tplc="0409000F">
      <w:start w:val="1"/>
      <w:numFmt w:val="decimal"/>
      <w:lvlText w:val="%1."/>
      <w:lvlJc w:val="left"/>
      <w:pPr>
        <w:ind w:left="720" w:hanging="360"/>
      </w:pPr>
      <w:rPr>
        <w:rFonts w:cs="Times New Roman" w:hint="default"/>
      </w:rPr>
    </w:lvl>
    <w:lvl w:ilvl="1" w:tplc="F41C8FA6">
      <w:start w:val="1"/>
      <w:numFmt w:val="lowerLetter"/>
      <w:lvlText w:val="%2."/>
      <w:lvlJc w:val="left"/>
      <w:pPr>
        <w:tabs>
          <w:tab w:val="num" w:pos="1440"/>
        </w:tabs>
        <w:ind w:left="1440" w:hanging="72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BE3D28"/>
    <w:multiLevelType w:val="multilevel"/>
    <w:tmpl w:val="0FB4E940"/>
    <w:lvl w:ilvl="0">
      <w:start w:val="1"/>
      <w:numFmt w:val="decimal"/>
      <w:lvlText w:val="%1."/>
      <w:lvlJc w:val="left"/>
      <w:pPr>
        <w:ind w:left="720" w:hanging="360"/>
      </w:pPr>
      <w:rPr>
        <w:rFonts w:cs="Times New Roman"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F6B7C56"/>
    <w:multiLevelType w:val="multilevel"/>
    <w:tmpl w:val="CAEC449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6956A16"/>
    <w:multiLevelType w:val="hybridMultilevel"/>
    <w:tmpl w:val="14127D30"/>
    <w:lvl w:ilvl="0" w:tplc="0409000F">
      <w:start w:val="1"/>
      <w:numFmt w:val="decimal"/>
      <w:lvlText w:val="%1."/>
      <w:lvlJc w:val="left"/>
      <w:pPr>
        <w:ind w:left="720" w:hanging="360"/>
      </w:pPr>
      <w:rPr>
        <w:rFonts w:cs="Times New Roman" w:hint="default"/>
      </w:rPr>
    </w:lvl>
    <w:lvl w:ilvl="1" w:tplc="F41C8FA6">
      <w:start w:val="1"/>
      <w:numFmt w:val="lowerLetter"/>
      <w:lvlText w:val="%2."/>
      <w:lvlJc w:val="left"/>
      <w:pPr>
        <w:tabs>
          <w:tab w:val="num" w:pos="1440"/>
        </w:tabs>
        <w:ind w:left="1440" w:hanging="72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C9956C8"/>
    <w:multiLevelType w:val="multilevel"/>
    <w:tmpl w:val="ABA8E280"/>
    <w:lvl w:ilvl="0">
      <w:start w:val="1"/>
      <w:numFmt w:val="decimal"/>
      <w:lvlText w:val="%1."/>
      <w:lvlJc w:val="left"/>
      <w:pPr>
        <w:ind w:left="720" w:hanging="360"/>
      </w:pPr>
      <w:rPr>
        <w:rFonts w:cs="Times New Roman" w:hint="default"/>
      </w:rPr>
    </w:lvl>
    <w:lvl w:ilvl="1">
      <w:start w:val="1"/>
      <w:numFmt w:val="upperRoman"/>
      <w:lvlText w:val="%2."/>
      <w:lvlJc w:val="left"/>
      <w:pPr>
        <w:tabs>
          <w:tab w:val="num" w:pos="720"/>
        </w:tabs>
        <w:ind w:left="720" w:hanging="72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0A55"/>
    <w:rsid w:val="0000061B"/>
    <w:rsid w:val="00032381"/>
    <w:rsid w:val="000346AB"/>
    <w:rsid w:val="000570AB"/>
    <w:rsid w:val="00057D32"/>
    <w:rsid w:val="00066C7F"/>
    <w:rsid w:val="0007358B"/>
    <w:rsid w:val="0008317E"/>
    <w:rsid w:val="000900F3"/>
    <w:rsid w:val="00092C0C"/>
    <w:rsid w:val="00092E05"/>
    <w:rsid w:val="00094FB5"/>
    <w:rsid w:val="00095BEC"/>
    <w:rsid w:val="00096DAE"/>
    <w:rsid w:val="000A478C"/>
    <w:rsid w:val="000C10C2"/>
    <w:rsid w:val="000D60C4"/>
    <w:rsid w:val="000E624B"/>
    <w:rsid w:val="000E658B"/>
    <w:rsid w:val="000F4658"/>
    <w:rsid w:val="00100338"/>
    <w:rsid w:val="00111761"/>
    <w:rsid w:val="001207E2"/>
    <w:rsid w:val="00124715"/>
    <w:rsid w:val="0013263F"/>
    <w:rsid w:val="0013725C"/>
    <w:rsid w:val="00150B52"/>
    <w:rsid w:val="00153833"/>
    <w:rsid w:val="00160CAC"/>
    <w:rsid w:val="00172689"/>
    <w:rsid w:val="0019754A"/>
    <w:rsid w:val="001A2D7A"/>
    <w:rsid w:val="001D5399"/>
    <w:rsid w:val="001D607D"/>
    <w:rsid w:val="001E00E6"/>
    <w:rsid w:val="001E3C5B"/>
    <w:rsid w:val="001F0B54"/>
    <w:rsid w:val="001F6140"/>
    <w:rsid w:val="0022163B"/>
    <w:rsid w:val="00222409"/>
    <w:rsid w:val="00231F25"/>
    <w:rsid w:val="00243128"/>
    <w:rsid w:val="0025643A"/>
    <w:rsid w:val="00266421"/>
    <w:rsid w:val="00272D1F"/>
    <w:rsid w:val="0027491E"/>
    <w:rsid w:val="00290DE4"/>
    <w:rsid w:val="002945A0"/>
    <w:rsid w:val="002A08A1"/>
    <w:rsid w:val="002C5DB0"/>
    <w:rsid w:val="002D7004"/>
    <w:rsid w:val="002E385E"/>
    <w:rsid w:val="002E5E9A"/>
    <w:rsid w:val="002E6E87"/>
    <w:rsid w:val="002F3D7B"/>
    <w:rsid w:val="002F74C8"/>
    <w:rsid w:val="00303FC8"/>
    <w:rsid w:val="003108A2"/>
    <w:rsid w:val="00312864"/>
    <w:rsid w:val="00312C36"/>
    <w:rsid w:val="0033125B"/>
    <w:rsid w:val="0033417D"/>
    <w:rsid w:val="00345420"/>
    <w:rsid w:val="003460FD"/>
    <w:rsid w:val="00356412"/>
    <w:rsid w:val="00361166"/>
    <w:rsid w:val="003626E0"/>
    <w:rsid w:val="003702FB"/>
    <w:rsid w:val="00370A55"/>
    <w:rsid w:val="00372144"/>
    <w:rsid w:val="00376E9B"/>
    <w:rsid w:val="00377B81"/>
    <w:rsid w:val="0038566F"/>
    <w:rsid w:val="00386FC2"/>
    <w:rsid w:val="003943C7"/>
    <w:rsid w:val="00395EEF"/>
    <w:rsid w:val="003A063A"/>
    <w:rsid w:val="003A52CE"/>
    <w:rsid w:val="003B0073"/>
    <w:rsid w:val="003B03E3"/>
    <w:rsid w:val="003B5342"/>
    <w:rsid w:val="003C234A"/>
    <w:rsid w:val="003C5E92"/>
    <w:rsid w:val="003C5FE0"/>
    <w:rsid w:val="003C70A1"/>
    <w:rsid w:val="003E1332"/>
    <w:rsid w:val="003E4385"/>
    <w:rsid w:val="003E5A3B"/>
    <w:rsid w:val="003E7604"/>
    <w:rsid w:val="003F04FC"/>
    <w:rsid w:val="0040659F"/>
    <w:rsid w:val="0040763F"/>
    <w:rsid w:val="0041673E"/>
    <w:rsid w:val="00420EDD"/>
    <w:rsid w:val="00426ECF"/>
    <w:rsid w:val="00454082"/>
    <w:rsid w:val="004540EE"/>
    <w:rsid w:val="00454ED0"/>
    <w:rsid w:val="0046344E"/>
    <w:rsid w:val="00477023"/>
    <w:rsid w:val="00494149"/>
    <w:rsid w:val="004B5937"/>
    <w:rsid w:val="004D2EF6"/>
    <w:rsid w:val="004E585F"/>
    <w:rsid w:val="005076D6"/>
    <w:rsid w:val="00507CB7"/>
    <w:rsid w:val="0051033F"/>
    <w:rsid w:val="005120A8"/>
    <w:rsid w:val="00516E11"/>
    <w:rsid w:val="005308C8"/>
    <w:rsid w:val="005313D0"/>
    <w:rsid w:val="005522D2"/>
    <w:rsid w:val="00554D23"/>
    <w:rsid w:val="0056342C"/>
    <w:rsid w:val="005648E8"/>
    <w:rsid w:val="00570B73"/>
    <w:rsid w:val="00587267"/>
    <w:rsid w:val="00596C59"/>
    <w:rsid w:val="005B60BD"/>
    <w:rsid w:val="005C16C6"/>
    <w:rsid w:val="005D0A99"/>
    <w:rsid w:val="005D653F"/>
    <w:rsid w:val="005E2253"/>
    <w:rsid w:val="005E371C"/>
    <w:rsid w:val="005E75E3"/>
    <w:rsid w:val="00600C5E"/>
    <w:rsid w:val="00602D90"/>
    <w:rsid w:val="0061526C"/>
    <w:rsid w:val="00634313"/>
    <w:rsid w:val="0063557D"/>
    <w:rsid w:val="006546C2"/>
    <w:rsid w:val="00682960"/>
    <w:rsid w:val="00690F24"/>
    <w:rsid w:val="006C710E"/>
    <w:rsid w:val="006D12F9"/>
    <w:rsid w:val="006D16C8"/>
    <w:rsid w:val="006D4673"/>
    <w:rsid w:val="006D6167"/>
    <w:rsid w:val="006E0C39"/>
    <w:rsid w:val="006E0DEC"/>
    <w:rsid w:val="006E13E2"/>
    <w:rsid w:val="006E2717"/>
    <w:rsid w:val="006E60E2"/>
    <w:rsid w:val="006E744D"/>
    <w:rsid w:val="00707EE1"/>
    <w:rsid w:val="0071313C"/>
    <w:rsid w:val="00722367"/>
    <w:rsid w:val="00735791"/>
    <w:rsid w:val="00736AC4"/>
    <w:rsid w:val="007400BE"/>
    <w:rsid w:val="00756500"/>
    <w:rsid w:val="00761B66"/>
    <w:rsid w:val="0076313A"/>
    <w:rsid w:val="00773BCA"/>
    <w:rsid w:val="00787AF2"/>
    <w:rsid w:val="007952A8"/>
    <w:rsid w:val="007A3541"/>
    <w:rsid w:val="007A4CC1"/>
    <w:rsid w:val="007C0712"/>
    <w:rsid w:val="007D0134"/>
    <w:rsid w:val="007E48BD"/>
    <w:rsid w:val="007E65A7"/>
    <w:rsid w:val="007E741F"/>
    <w:rsid w:val="007F7A16"/>
    <w:rsid w:val="00801BC4"/>
    <w:rsid w:val="00803512"/>
    <w:rsid w:val="00805FA9"/>
    <w:rsid w:val="00825EAC"/>
    <w:rsid w:val="00826D79"/>
    <w:rsid w:val="008578FC"/>
    <w:rsid w:val="00867F3C"/>
    <w:rsid w:val="00880292"/>
    <w:rsid w:val="00880910"/>
    <w:rsid w:val="008816A7"/>
    <w:rsid w:val="008874D4"/>
    <w:rsid w:val="00890FED"/>
    <w:rsid w:val="008A0A77"/>
    <w:rsid w:val="008A73C5"/>
    <w:rsid w:val="008D7F20"/>
    <w:rsid w:val="008E2C17"/>
    <w:rsid w:val="008F4DC6"/>
    <w:rsid w:val="008F6CFF"/>
    <w:rsid w:val="00913BDE"/>
    <w:rsid w:val="009246BB"/>
    <w:rsid w:val="009408CC"/>
    <w:rsid w:val="00952162"/>
    <w:rsid w:val="00957F31"/>
    <w:rsid w:val="00960122"/>
    <w:rsid w:val="009731CD"/>
    <w:rsid w:val="009756C1"/>
    <w:rsid w:val="0099215D"/>
    <w:rsid w:val="00994142"/>
    <w:rsid w:val="009B3F8D"/>
    <w:rsid w:val="009C0936"/>
    <w:rsid w:val="009C170A"/>
    <w:rsid w:val="009C357A"/>
    <w:rsid w:val="009F6751"/>
    <w:rsid w:val="009F6A75"/>
    <w:rsid w:val="00A37289"/>
    <w:rsid w:val="00A4450B"/>
    <w:rsid w:val="00A47A8D"/>
    <w:rsid w:val="00A47BC2"/>
    <w:rsid w:val="00A57AAC"/>
    <w:rsid w:val="00A62EF9"/>
    <w:rsid w:val="00A834AA"/>
    <w:rsid w:val="00A92087"/>
    <w:rsid w:val="00AA195D"/>
    <w:rsid w:val="00AA2B70"/>
    <w:rsid w:val="00AA45CC"/>
    <w:rsid w:val="00AA6FE7"/>
    <w:rsid w:val="00AA7491"/>
    <w:rsid w:val="00AB0E2E"/>
    <w:rsid w:val="00AB22CA"/>
    <w:rsid w:val="00AB327C"/>
    <w:rsid w:val="00AD5BFB"/>
    <w:rsid w:val="00AE0C69"/>
    <w:rsid w:val="00AE6E36"/>
    <w:rsid w:val="00AF097F"/>
    <w:rsid w:val="00B16DFF"/>
    <w:rsid w:val="00B20AFB"/>
    <w:rsid w:val="00B25C7D"/>
    <w:rsid w:val="00B410E8"/>
    <w:rsid w:val="00B46463"/>
    <w:rsid w:val="00B57E59"/>
    <w:rsid w:val="00B63108"/>
    <w:rsid w:val="00B64515"/>
    <w:rsid w:val="00B64F3C"/>
    <w:rsid w:val="00B85FC9"/>
    <w:rsid w:val="00BA0DBB"/>
    <w:rsid w:val="00BA5B84"/>
    <w:rsid w:val="00BA691A"/>
    <w:rsid w:val="00BC772D"/>
    <w:rsid w:val="00BE1DCC"/>
    <w:rsid w:val="00C04998"/>
    <w:rsid w:val="00C1084D"/>
    <w:rsid w:val="00C1293F"/>
    <w:rsid w:val="00C15E18"/>
    <w:rsid w:val="00C17268"/>
    <w:rsid w:val="00C33ACE"/>
    <w:rsid w:val="00C4648F"/>
    <w:rsid w:val="00C46A4D"/>
    <w:rsid w:val="00C46C54"/>
    <w:rsid w:val="00C633E7"/>
    <w:rsid w:val="00C66660"/>
    <w:rsid w:val="00C77201"/>
    <w:rsid w:val="00C84163"/>
    <w:rsid w:val="00C8657F"/>
    <w:rsid w:val="00CA6004"/>
    <w:rsid w:val="00CA7BC0"/>
    <w:rsid w:val="00CB0BE3"/>
    <w:rsid w:val="00CB6F7B"/>
    <w:rsid w:val="00CC2857"/>
    <w:rsid w:val="00CC7FE4"/>
    <w:rsid w:val="00CD31BF"/>
    <w:rsid w:val="00CE1666"/>
    <w:rsid w:val="00CE6CC9"/>
    <w:rsid w:val="00CF68E9"/>
    <w:rsid w:val="00D07E22"/>
    <w:rsid w:val="00D172A0"/>
    <w:rsid w:val="00D2743B"/>
    <w:rsid w:val="00D30C13"/>
    <w:rsid w:val="00D32E4B"/>
    <w:rsid w:val="00D3578B"/>
    <w:rsid w:val="00D361C8"/>
    <w:rsid w:val="00D5718A"/>
    <w:rsid w:val="00D625DC"/>
    <w:rsid w:val="00D72690"/>
    <w:rsid w:val="00D745A7"/>
    <w:rsid w:val="00D76CF5"/>
    <w:rsid w:val="00D874B0"/>
    <w:rsid w:val="00D9553A"/>
    <w:rsid w:val="00DA3949"/>
    <w:rsid w:val="00DD29F1"/>
    <w:rsid w:val="00DF3715"/>
    <w:rsid w:val="00DF6404"/>
    <w:rsid w:val="00DF6516"/>
    <w:rsid w:val="00DF6EF7"/>
    <w:rsid w:val="00E16DFC"/>
    <w:rsid w:val="00E226D2"/>
    <w:rsid w:val="00E23674"/>
    <w:rsid w:val="00E30F2F"/>
    <w:rsid w:val="00E3417D"/>
    <w:rsid w:val="00E46AE5"/>
    <w:rsid w:val="00E61148"/>
    <w:rsid w:val="00E666D2"/>
    <w:rsid w:val="00E73CD1"/>
    <w:rsid w:val="00E87CFD"/>
    <w:rsid w:val="00EA4FDF"/>
    <w:rsid w:val="00EB27DD"/>
    <w:rsid w:val="00EB7286"/>
    <w:rsid w:val="00EC429F"/>
    <w:rsid w:val="00ED0E33"/>
    <w:rsid w:val="00EE35E9"/>
    <w:rsid w:val="00EF4D0E"/>
    <w:rsid w:val="00F139E4"/>
    <w:rsid w:val="00F3732A"/>
    <w:rsid w:val="00F4055A"/>
    <w:rsid w:val="00F542FE"/>
    <w:rsid w:val="00F910FE"/>
    <w:rsid w:val="00FA1645"/>
    <w:rsid w:val="00FB017A"/>
    <w:rsid w:val="00FD5100"/>
    <w:rsid w:val="00FE0BB0"/>
    <w:rsid w:val="00FF1579"/>
    <w:rsid w:val="00FF2F57"/>
    <w:rsid w:val="00FF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FC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0A55"/>
    <w:pPr>
      <w:ind w:left="720"/>
      <w:contextualSpacing/>
    </w:pPr>
  </w:style>
  <w:style w:type="table" w:styleId="TableGrid">
    <w:name w:val="Table Grid"/>
    <w:basedOn w:val="TableNormal"/>
    <w:rsid w:val="0031286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E48BD"/>
    <w:rPr>
      <w:rFonts w:ascii="Tahoma" w:hAnsi="Tahoma" w:cs="Tahoma"/>
      <w:sz w:val="16"/>
      <w:szCs w:val="16"/>
    </w:rPr>
  </w:style>
  <w:style w:type="character" w:customStyle="1" w:styleId="BalloonTextChar">
    <w:name w:val="Balloon Text Char"/>
    <w:basedOn w:val="DefaultParagraphFont"/>
    <w:link w:val="BalloonText"/>
    <w:semiHidden/>
    <w:locked/>
    <w:rsid w:val="00E23674"/>
    <w:rPr>
      <w:rFonts w:ascii="Times New Roman" w:hAnsi="Times New Roman" w:cs="Times New Roman"/>
      <w:sz w:val="2"/>
    </w:rPr>
  </w:style>
  <w:style w:type="character" w:styleId="CommentReference">
    <w:name w:val="annotation reference"/>
    <w:basedOn w:val="DefaultParagraphFont"/>
    <w:semiHidden/>
    <w:rsid w:val="00C633E7"/>
    <w:rPr>
      <w:sz w:val="16"/>
      <w:szCs w:val="16"/>
    </w:rPr>
  </w:style>
  <w:style w:type="paragraph" w:styleId="CommentText">
    <w:name w:val="annotation text"/>
    <w:basedOn w:val="Normal"/>
    <w:semiHidden/>
    <w:rsid w:val="00C633E7"/>
    <w:rPr>
      <w:sz w:val="20"/>
      <w:szCs w:val="20"/>
    </w:rPr>
  </w:style>
  <w:style w:type="paragraph" w:styleId="CommentSubject">
    <w:name w:val="annotation subject"/>
    <w:basedOn w:val="CommentText"/>
    <w:next w:val="CommentText"/>
    <w:semiHidden/>
    <w:rsid w:val="00C633E7"/>
    <w:rPr>
      <w:b/>
      <w:bCs/>
    </w:rPr>
  </w:style>
  <w:style w:type="paragraph" w:styleId="Header">
    <w:name w:val="header"/>
    <w:basedOn w:val="Normal"/>
    <w:link w:val="HeaderChar"/>
    <w:rsid w:val="00EB27DD"/>
    <w:pPr>
      <w:tabs>
        <w:tab w:val="center" w:pos="4680"/>
        <w:tab w:val="right" w:pos="9360"/>
      </w:tabs>
    </w:pPr>
  </w:style>
  <w:style w:type="character" w:customStyle="1" w:styleId="HeaderChar">
    <w:name w:val="Header Char"/>
    <w:basedOn w:val="DefaultParagraphFont"/>
    <w:link w:val="Header"/>
    <w:rsid w:val="00EB27DD"/>
    <w:rPr>
      <w:rFonts w:eastAsia="Times New Roman"/>
      <w:sz w:val="22"/>
      <w:szCs w:val="22"/>
    </w:rPr>
  </w:style>
  <w:style w:type="paragraph" w:styleId="Footer">
    <w:name w:val="footer"/>
    <w:basedOn w:val="Normal"/>
    <w:link w:val="FooterChar"/>
    <w:rsid w:val="00EB27DD"/>
    <w:pPr>
      <w:tabs>
        <w:tab w:val="center" w:pos="4680"/>
        <w:tab w:val="right" w:pos="9360"/>
      </w:tabs>
    </w:pPr>
  </w:style>
  <w:style w:type="character" w:customStyle="1" w:styleId="FooterChar">
    <w:name w:val="Footer Char"/>
    <w:basedOn w:val="DefaultParagraphFont"/>
    <w:link w:val="Footer"/>
    <w:rsid w:val="00EB27DD"/>
    <w:rPr>
      <w:rFonts w:eastAsia="Times New Roman"/>
      <w:sz w:val="22"/>
      <w:szCs w:val="22"/>
    </w:rPr>
  </w:style>
  <w:style w:type="character" w:styleId="Hyperlink">
    <w:name w:val="Hyperlink"/>
    <w:basedOn w:val="DefaultParagraphFont"/>
    <w:rsid w:val="003F04FC"/>
    <w:rPr>
      <w:color w:val="0000FF"/>
      <w:u w:val="single"/>
    </w:rPr>
  </w:style>
  <w:style w:type="character" w:styleId="FollowedHyperlink">
    <w:name w:val="FollowedHyperlink"/>
    <w:basedOn w:val="DefaultParagraphFont"/>
    <w:rsid w:val="001E00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0646775">
      <w:bodyDiv w:val="1"/>
      <w:marLeft w:val="0"/>
      <w:marRight w:val="0"/>
      <w:marTop w:val="0"/>
      <w:marBottom w:val="0"/>
      <w:divBdr>
        <w:top w:val="none" w:sz="0" w:space="0" w:color="auto"/>
        <w:left w:val="none" w:sz="0" w:space="0" w:color="auto"/>
        <w:bottom w:val="none" w:sz="0" w:space="0" w:color="auto"/>
        <w:right w:val="none" w:sz="0" w:space="0" w:color="auto"/>
      </w:divBdr>
    </w:div>
    <w:div w:id="434789310">
      <w:bodyDiv w:val="1"/>
      <w:marLeft w:val="0"/>
      <w:marRight w:val="0"/>
      <w:marTop w:val="0"/>
      <w:marBottom w:val="0"/>
      <w:divBdr>
        <w:top w:val="none" w:sz="0" w:space="0" w:color="auto"/>
        <w:left w:val="none" w:sz="0" w:space="0" w:color="auto"/>
        <w:bottom w:val="none" w:sz="0" w:space="0" w:color="auto"/>
        <w:right w:val="none" w:sz="0" w:space="0" w:color="auto"/>
      </w:divBdr>
    </w:div>
    <w:div w:id="661323996">
      <w:bodyDiv w:val="1"/>
      <w:marLeft w:val="0"/>
      <w:marRight w:val="0"/>
      <w:marTop w:val="0"/>
      <w:marBottom w:val="0"/>
      <w:divBdr>
        <w:top w:val="none" w:sz="0" w:space="0" w:color="auto"/>
        <w:left w:val="none" w:sz="0" w:space="0" w:color="auto"/>
        <w:bottom w:val="none" w:sz="0" w:space="0" w:color="auto"/>
        <w:right w:val="none" w:sz="0" w:space="0" w:color="auto"/>
      </w:divBdr>
    </w:div>
    <w:div w:id="685984729">
      <w:bodyDiv w:val="1"/>
      <w:marLeft w:val="0"/>
      <w:marRight w:val="0"/>
      <w:marTop w:val="0"/>
      <w:marBottom w:val="0"/>
      <w:divBdr>
        <w:top w:val="none" w:sz="0" w:space="0" w:color="auto"/>
        <w:left w:val="none" w:sz="0" w:space="0" w:color="auto"/>
        <w:bottom w:val="none" w:sz="0" w:space="0" w:color="auto"/>
        <w:right w:val="none" w:sz="0" w:space="0" w:color="auto"/>
      </w:divBdr>
    </w:div>
    <w:div w:id="17338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microsoft.com/fwlink/?LinkID=79398&amp;clcid=0x4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microsoft.com/fwlink/?LinkId=140057"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go.microsoft.com/fwlink/?LinkId=1573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view_x0020_Status xmlns="0aabdf31-246f-4522-83c6-74bde4adfab5">In Review</Review_x0020_Status>
    <Due_x0020_Date xmlns="0aabdf31-246f-4522-83c6-74bde4adf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B9DCB17AE8A4E9EE2296746E0406E" ma:contentTypeVersion="2" ma:contentTypeDescription="Create a new document." ma:contentTypeScope="" ma:versionID="5345de40077f13603695fd9c10087c3e">
  <xsd:schema xmlns:xsd="http://www.w3.org/2001/XMLSchema" xmlns:p="http://schemas.microsoft.com/office/2006/metadata/properties" xmlns:ns2="0aabdf31-246f-4522-83c6-74bde4adfab5" targetNamespace="http://schemas.microsoft.com/office/2006/metadata/properties" ma:root="true" ma:fieldsID="2162aa27edd29e7767a42c8b7139ff5b" ns2:_="">
    <xsd:import namespace="0aabdf31-246f-4522-83c6-74bde4adfab5"/>
    <xsd:element name="properties">
      <xsd:complexType>
        <xsd:sequence>
          <xsd:element name="documentManagement">
            <xsd:complexType>
              <xsd:all>
                <xsd:element ref="ns2:Due_x0020_Date" minOccurs="0"/>
                <xsd:element ref="ns2:Review_x0020_Status" minOccurs="0"/>
              </xsd:all>
            </xsd:complexType>
          </xsd:element>
        </xsd:sequence>
      </xsd:complexType>
    </xsd:element>
  </xsd:schema>
  <xsd:schema xmlns:xsd="http://www.w3.org/2001/XMLSchema" xmlns:dms="http://schemas.microsoft.com/office/2006/documentManagement/types" targetNamespace="0aabdf31-246f-4522-83c6-74bde4adfab5" elementFormDefault="qualified">
    <xsd:import namespace="http://schemas.microsoft.com/office/2006/documentManagement/types"/>
    <xsd:element name="Due_x0020_Date" ma:index="8" nillable="true" ma:displayName="Due Date" ma:description="Date a doc needs to be reviewed by" ma:format="DateOnly" ma:internalName="Due_x0020_Date">
      <xsd:simpleType>
        <xsd:restriction base="dms:DateTime"/>
      </xsd:simpleType>
    </xsd:element>
    <xsd:element name="Review_x0020_Status" ma:index="9" nillable="true" ma:displayName="Review Status" ma:default="In Review" ma:format="Dropdown" ma:internalName="Review_x0020_Status">
      <xsd:simpleType>
        <xsd:restriction base="dms:Choice">
          <xsd:enumeration value="In Review"/>
          <xsd:enumeration value="No Review Needed"/>
          <xsd:enumeration value="Team Approved"/>
          <xsd:enumeration value="LCA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5D745E-4123-4D52-AC31-EB1FB4718BCA}">
  <ds:schemaRefs>
    <ds:schemaRef ds:uri="http://schemas.microsoft.com/office/2006/metadata/properties"/>
    <ds:schemaRef ds:uri="0aabdf31-246f-4522-83c6-74bde4adfab5"/>
  </ds:schemaRefs>
</ds:datastoreItem>
</file>

<file path=customXml/itemProps2.xml><?xml version="1.0" encoding="utf-8"?>
<ds:datastoreItem xmlns:ds="http://schemas.openxmlformats.org/officeDocument/2006/customXml" ds:itemID="{71A9ACA8-CD82-4D12-9567-9BFC343D887A}">
  <ds:schemaRefs>
    <ds:schemaRef ds:uri="http://schemas.microsoft.com/sharepoint/v3/contenttype/forms"/>
  </ds:schemaRefs>
</ds:datastoreItem>
</file>

<file path=customXml/itemProps3.xml><?xml version="1.0" encoding="utf-8"?>
<ds:datastoreItem xmlns:ds="http://schemas.openxmlformats.org/officeDocument/2006/customXml" ds:itemID="{FFCD45B0-DD89-4015-A684-2759A9C62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bdf31-246f-4522-83c6-74bde4adfa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1114</Words>
  <Characters>6354</Characters>
  <Application>Microsoft Office Word</Application>
  <DocSecurity>0</DocSecurity>
  <PresentationFormat>[Compatibility Mode]</PresentationFormat>
  <Lines>52</Lines>
  <Paragraphs>14</Paragraphs>
  <ScaleCrop>false</ScaleCrop>
  <HeadingPairs>
    <vt:vector size="2" baseType="variant">
      <vt:variant>
        <vt:lpstr>Title</vt:lpstr>
      </vt:variant>
      <vt:variant>
        <vt:i4>1</vt:i4>
      </vt:variant>
    </vt:vector>
  </HeadingPairs>
  <TitlesOfParts>
    <vt:vector size="1" baseType="lpstr">
      <vt:lpstr>WWLP SLA Template - mrw edits v8 (00874832-2).DOC</vt:lpstr>
    </vt:vector>
  </TitlesOfParts>
  <Company>Microsoft</Company>
  <LinksUpToDate>false</LinksUpToDate>
  <CharactersWithSpaces>7454</CharactersWithSpaces>
  <SharedDoc>false</SharedDoc>
  <HLinks>
    <vt:vector size="30" baseType="variant">
      <vt:variant>
        <vt:i4>1507383</vt:i4>
      </vt:variant>
      <vt:variant>
        <vt:i4>12</vt:i4>
      </vt:variant>
      <vt:variant>
        <vt:i4>0</vt:i4>
      </vt:variant>
      <vt:variant>
        <vt:i4>5</vt:i4>
      </vt:variant>
      <vt:variant>
        <vt:lpwstr>http://www.microsoft.com/technet/security/topics/serversecurity/avdind_2.mspx</vt:lpwstr>
      </vt:variant>
      <vt:variant>
        <vt:lpwstr/>
      </vt:variant>
      <vt:variant>
        <vt:i4>1507383</vt:i4>
      </vt:variant>
      <vt:variant>
        <vt:i4>9</vt:i4>
      </vt:variant>
      <vt:variant>
        <vt:i4>0</vt:i4>
      </vt:variant>
      <vt:variant>
        <vt:i4>5</vt:i4>
      </vt:variant>
      <vt:variant>
        <vt:lpwstr>http://www.microsoft.com/technet/security/topics/serversecurity/avdind_2.mspx</vt:lpwstr>
      </vt:variant>
      <vt:variant>
        <vt:lpwstr/>
      </vt:variant>
      <vt:variant>
        <vt:i4>4915272</vt:i4>
      </vt:variant>
      <vt:variant>
        <vt:i4>6</vt:i4>
      </vt:variant>
      <vt:variant>
        <vt:i4>0</vt:i4>
      </vt:variant>
      <vt:variant>
        <vt:i4>5</vt:i4>
      </vt:variant>
      <vt:variant>
        <vt:lpwstr>http://admin.global.frontbridge.com/includes/downloadfile.php?pdf=MEHS_Filtering_QuickLaunch_and_BestPracticesEN.pdf</vt:lpwstr>
      </vt:variant>
      <vt:variant>
        <vt:lpwstr/>
      </vt:variant>
      <vt:variant>
        <vt:i4>5832774</vt:i4>
      </vt:variant>
      <vt:variant>
        <vt:i4>3</vt:i4>
      </vt:variant>
      <vt:variant>
        <vt:i4>0</vt:i4>
      </vt:variant>
      <vt:variant>
        <vt:i4>5</vt:i4>
      </vt:variant>
      <vt:variant>
        <vt:lpwstr>http://www.frontbridge.com/legal/AcceptableUsePolicy.htm</vt:lpwstr>
      </vt:variant>
      <vt:variant>
        <vt:lpwstr/>
      </vt:variant>
      <vt:variant>
        <vt:i4>5242964</vt:i4>
      </vt:variant>
      <vt:variant>
        <vt:i4>0</vt:i4>
      </vt:variant>
      <vt:variant>
        <vt:i4>0</vt:i4>
      </vt:variant>
      <vt:variant>
        <vt:i4>5</vt:i4>
      </vt:variant>
      <vt:variant>
        <vt:lpwstr>https://admin.global.frontbridge.com/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Exchange_Hosted_Archive_SLA - draft</dc:title>
  <dc:subject>00874832.DOC;2</dc:subject>
  <dc:creator>marshwin</dc:creator>
  <cp:lastModifiedBy>Ann Vu</cp:lastModifiedBy>
  <cp:revision>7</cp:revision>
  <cp:lastPrinted>2008-05-08T16:53:00Z</cp:lastPrinted>
  <dcterms:created xsi:type="dcterms:W3CDTF">2009-08-06T18:14:00Z</dcterms:created>
  <dcterms:modified xsi:type="dcterms:W3CDTF">2009-08-12T18:09:00Z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0x01010057DB9DCB17AE8A4E9EE2296746E0406E</vt:lpwstr>
  </property>
</Properties>
</file>