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68" w:rsidRDefault="00284548">
      <w:pPr>
        <w:pStyle w:val="H1"/>
      </w:pPr>
      <w:r w:rsidRPr="00284548">
        <w:rPr>
          <w:b w:val="0"/>
          <w:noProof/>
        </w:rPr>
        <w:drawing>
          <wp:anchor distT="0" distB="0" distL="114300" distR="114300" simplePos="0" relativeHeight="251660288" behindDoc="0" locked="0" layoutInCell="1" allowOverlap="1">
            <wp:simplePos x="0" y="0"/>
            <wp:positionH relativeFrom="margin">
              <wp:posOffset>-295275</wp:posOffset>
            </wp:positionH>
            <wp:positionV relativeFrom="page">
              <wp:posOffset>0</wp:posOffset>
            </wp:positionV>
            <wp:extent cx="6858000" cy="1476375"/>
            <wp:effectExtent l="19050" t="0" r="0" b="0"/>
            <wp:wrapNone/>
            <wp:docPr id="2" name="Picture 1" descr="TwC_Word-Template_Bann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C_Word-Template_Banner.bmp"/>
                    <pic:cNvPicPr/>
                  </pic:nvPicPr>
                  <pic:blipFill>
                    <a:blip r:embed="rId11" cstate="print"/>
                    <a:stretch>
                      <a:fillRect/>
                    </a:stretch>
                  </pic:blipFill>
                  <pic:spPr>
                    <a:xfrm>
                      <a:off x="0" y="0"/>
                      <a:ext cx="6858000" cy="1476375"/>
                    </a:xfrm>
                    <a:prstGeom prst="rect">
                      <a:avLst/>
                    </a:prstGeom>
                  </pic:spPr>
                </pic:pic>
              </a:graphicData>
            </a:graphic>
          </wp:anchor>
        </w:drawing>
      </w:r>
      <w:r w:rsidR="00191C07">
        <w:t>Microsoft</w:t>
      </w:r>
      <w:r w:rsidR="00D3131F" w:rsidRPr="0058353B">
        <w:t xml:space="preserve"> &amp; Data </w:t>
      </w:r>
      <w:r w:rsidR="004E6623">
        <w:t>Breach Notification</w:t>
      </w:r>
      <w:r w:rsidR="002458D1">
        <w:t>, Enterprise</w:t>
      </w:r>
      <w:r w:rsidR="00DC7932">
        <w:tab/>
      </w:r>
      <w:r w:rsidR="00DC7932">
        <w:tab/>
      </w:r>
      <w:r w:rsidR="002458D1">
        <w:t>February 2009</w:t>
      </w:r>
    </w:p>
    <w:p w:rsidR="00B34568" w:rsidRDefault="005B74B2">
      <w:pPr>
        <w:spacing w:before="240"/>
        <w:rPr>
          <w:rFonts w:ascii="Tahoma" w:hAnsi="Tahoma" w:cs="Tahoma"/>
          <w:sz w:val="19"/>
          <w:szCs w:val="19"/>
        </w:rPr>
      </w:pPr>
      <w:r w:rsidRPr="005B74B2">
        <w:rPr>
          <w:rFonts w:ascii="Tahoma" w:hAnsi="Tahoma" w:cs="Tahoma"/>
          <w:sz w:val="19"/>
          <w:szCs w:val="19"/>
        </w:rPr>
        <w:t xml:space="preserve">Organizations are increasingly inviting customers to share personal information that can </w:t>
      </w:r>
      <w:r w:rsidR="00F1516E">
        <w:rPr>
          <w:rFonts w:ascii="Tahoma" w:hAnsi="Tahoma" w:cs="Tahoma"/>
          <w:sz w:val="19"/>
          <w:szCs w:val="19"/>
        </w:rPr>
        <w:t xml:space="preserve">be </w:t>
      </w:r>
      <w:r w:rsidRPr="005B74B2">
        <w:rPr>
          <w:rFonts w:ascii="Tahoma" w:hAnsi="Tahoma" w:cs="Tahoma"/>
          <w:sz w:val="19"/>
          <w:szCs w:val="19"/>
        </w:rPr>
        <w:t>use</w:t>
      </w:r>
      <w:r w:rsidR="00F1516E">
        <w:rPr>
          <w:rFonts w:ascii="Tahoma" w:hAnsi="Tahoma" w:cs="Tahoma"/>
          <w:sz w:val="19"/>
          <w:szCs w:val="19"/>
        </w:rPr>
        <w:t>d</w:t>
      </w:r>
      <w:r w:rsidRPr="005B74B2">
        <w:rPr>
          <w:rFonts w:ascii="Tahoma" w:hAnsi="Tahoma" w:cs="Tahoma"/>
          <w:sz w:val="19"/>
          <w:szCs w:val="19"/>
        </w:rPr>
        <w:t xml:space="preserve"> for a variety of </w:t>
      </w:r>
      <w:r w:rsidR="00F1516E">
        <w:rPr>
          <w:rFonts w:ascii="Tahoma" w:hAnsi="Tahoma" w:cs="Tahoma"/>
          <w:sz w:val="19"/>
          <w:szCs w:val="19"/>
        </w:rPr>
        <w:t xml:space="preserve">beneficial </w:t>
      </w:r>
      <w:r w:rsidRPr="005B74B2">
        <w:rPr>
          <w:rFonts w:ascii="Tahoma" w:hAnsi="Tahoma" w:cs="Tahoma"/>
          <w:sz w:val="19"/>
          <w:szCs w:val="19"/>
        </w:rPr>
        <w:t xml:space="preserve">purposes, such as improving services and delivering more personalized user experiences. </w:t>
      </w:r>
      <w:r w:rsidR="00AC2978">
        <w:rPr>
          <w:rFonts w:ascii="Tahoma" w:hAnsi="Tahoma" w:cs="Tahoma"/>
          <w:sz w:val="19"/>
          <w:szCs w:val="19"/>
        </w:rPr>
        <w:t xml:space="preserve">However, </w:t>
      </w:r>
      <w:r w:rsidR="00EC68FD">
        <w:rPr>
          <w:rFonts w:ascii="Tahoma" w:hAnsi="Tahoma" w:cs="Tahoma"/>
          <w:sz w:val="19"/>
          <w:szCs w:val="19"/>
        </w:rPr>
        <w:t>a</w:t>
      </w:r>
      <w:r w:rsidR="00AC2978" w:rsidRPr="001A6B42">
        <w:rPr>
          <w:rFonts w:ascii="Tahoma" w:hAnsi="Tahoma" w:cs="Tahoma"/>
          <w:sz w:val="19"/>
          <w:szCs w:val="19"/>
        </w:rPr>
        <w:t>s the volume of collected information grows, so does the risk of a breach involving loss or theft of data</w:t>
      </w:r>
      <w:r w:rsidRPr="005B74B2">
        <w:rPr>
          <w:rFonts w:ascii="Tahoma" w:hAnsi="Tahoma" w:cs="Tahoma"/>
          <w:sz w:val="19"/>
          <w:szCs w:val="19"/>
        </w:rPr>
        <w:t>.</w:t>
      </w:r>
      <w:r w:rsidR="00AC2978">
        <w:rPr>
          <w:rFonts w:ascii="Tahoma" w:hAnsi="Tahoma" w:cs="Tahoma"/>
          <w:sz w:val="19"/>
          <w:szCs w:val="19"/>
        </w:rPr>
        <w:t xml:space="preserve"> </w:t>
      </w:r>
      <w:r w:rsidR="00AC2978" w:rsidRPr="000F5F93">
        <w:rPr>
          <w:rFonts w:ascii="Tahoma" w:hAnsi="Tahoma" w:cs="Tahoma"/>
          <w:sz w:val="19"/>
          <w:szCs w:val="19"/>
        </w:rPr>
        <w:t xml:space="preserve">Organizations that embrace the concepts of </w:t>
      </w:r>
      <w:r w:rsidR="00AC2978" w:rsidRPr="00F1516E">
        <w:rPr>
          <w:rFonts w:ascii="Tahoma" w:hAnsi="Tahoma" w:cs="Tahoma"/>
          <w:i/>
          <w:sz w:val="19"/>
          <w:szCs w:val="19"/>
        </w:rPr>
        <w:t>data governance</w:t>
      </w:r>
      <w:r w:rsidR="00AC2978" w:rsidRPr="000F5F93">
        <w:rPr>
          <w:rFonts w:ascii="Tahoma" w:hAnsi="Tahoma" w:cs="Tahoma"/>
          <w:sz w:val="19"/>
          <w:szCs w:val="19"/>
        </w:rPr>
        <w:t xml:space="preserve"> can reduce the risk of incurring a data breach and minimize the harm when such incidents occur.</w:t>
      </w:r>
      <w:r w:rsidR="00EC68FD">
        <w:rPr>
          <w:rFonts w:ascii="Tahoma" w:hAnsi="Tahoma" w:cs="Tahoma"/>
          <w:sz w:val="19"/>
          <w:szCs w:val="19"/>
        </w:rPr>
        <w:t xml:space="preserve"> </w:t>
      </w:r>
      <w:r w:rsidRPr="005B74B2">
        <w:rPr>
          <w:rFonts w:ascii="Tahoma" w:hAnsi="Tahoma" w:cs="Tahoma"/>
          <w:sz w:val="19"/>
          <w:szCs w:val="19"/>
        </w:rPr>
        <w:t>Data breaches not only put customers at risk of fraud and identity theft</w:t>
      </w:r>
      <w:r w:rsidR="00F1516E">
        <w:rPr>
          <w:rFonts w:ascii="Tahoma" w:hAnsi="Tahoma" w:cs="Tahoma"/>
          <w:sz w:val="19"/>
          <w:szCs w:val="19"/>
        </w:rPr>
        <w:t>,</w:t>
      </w:r>
      <w:r w:rsidRPr="005B74B2">
        <w:rPr>
          <w:rFonts w:ascii="Tahoma" w:hAnsi="Tahoma" w:cs="Tahoma"/>
          <w:sz w:val="19"/>
          <w:szCs w:val="19"/>
        </w:rPr>
        <w:t xml:space="preserve"> but also can expose the affected organization to </w:t>
      </w:r>
      <w:r w:rsidR="00AC2978">
        <w:rPr>
          <w:rFonts w:ascii="Tahoma" w:hAnsi="Tahoma" w:cs="Tahoma"/>
          <w:sz w:val="19"/>
          <w:szCs w:val="19"/>
        </w:rPr>
        <w:t xml:space="preserve">a </w:t>
      </w:r>
      <w:r w:rsidRPr="005B74B2">
        <w:rPr>
          <w:rFonts w:ascii="Tahoma" w:hAnsi="Tahoma" w:cs="Tahoma"/>
          <w:sz w:val="19"/>
          <w:szCs w:val="19"/>
        </w:rPr>
        <w:t>damage</w:t>
      </w:r>
      <w:r w:rsidR="00AC2978">
        <w:rPr>
          <w:rFonts w:ascii="Tahoma" w:hAnsi="Tahoma" w:cs="Tahoma"/>
          <w:sz w:val="19"/>
          <w:szCs w:val="19"/>
        </w:rPr>
        <w:t>d</w:t>
      </w:r>
      <w:r w:rsidRPr="005B74B2">
        <w:rPr>
          <w:rFonts w:ascii="Tahoma" w:hAnsi="Tahoma" w:cs="Tahoma"/>
          <w:sz w:val="19"/>
          <w:szCs w:val="19"/>
        </w:rPr>
        <w:t xml:space="preserve"> reputation, financial penalties and loss of market share.</w:t>
      </w:r>
    </w:p>
    <w:p w:rsidR="000F5F93" w:rsidRDefault="005B74B2" w:rsidP="000F5F93">
      <w:pPr>
        <w:rPr>
          <w:rFonts w:ascii="Tahoma" w:hAnsi="Tahoma" w:cs="Tahoma"/>
          <w:sz w:val="19"/>
          <w:szCs w:val="19"/>
        </w:rPr>
      </w:pPr>
      <w:r w:rsidRPr="005B74B2">
        <w:rPr>
          <w:rFonts w:ascii="Tahoma" w:hAnsi="Tahoma" w:cs="Tahoma"/>
          <w:sz w:val="19"/>
          <w:szCs w:val="19"/>
        </w:rPr>
        <w:t xml:space="preserve">In response to rising concerns among </w:t>
      </w:r>
      <w:r w:rsidR="002458D1">
        <w:rPr>
          <w:rFonts w:ascii="Tahoma" w:hAnsi="Tahoma" w:cs="Tahoma"/>
          <w:sz w:val="19"/>
          <w:szCs w:val="19"/>
        </w:rPr>
        <w:t>individuals</w:t>
      </w:r>
      <w:r w:rsidR="002458D1" w:rsidRPr="005B74B2">
        <w:rPr>
          <w:rFonts w:ascii="Tahoma" w:hAnsi="Tahoma" w:cs="Tahoma"/>
          <w:sz w:val="19"/>
          <w:szCs w:val="19"/>
        </w:rPr>
        <w:t xml:space="preserve"> </w:t>
      </w:r>
      <w:r w:rsidRPr="005B74B2">
        <w:rPr>
          <w:rFonts w:ascii="Tahoma" w:hAnsi="Tahoma" w:cs="Tahoma"/>
          <w:sz w:val="19"/>
          <w:szCs w:val="19"/>
        </w:rPr>
        <w:t>about privacy threats to their personal information, governments at all levels are examining the need for new and evolving laws regarding</w:t>
      </w:r>
      <w:r>
        <w:rPr>
          <w:rFonts w:ascii="Tahoma" w:hAnsi="Tahoma" w:cs="Tahoma"/>
          <w:sz w:val="19"/>
          <w:szCs w:val="19"/>
        </w:rPr>
        <w:t xml:space="preserve"> data breach notification.</w:t>
      </w:r>
      <w:r w:rsidR="00EC68FD">
        <w:rPr>
          <w:rFonts w:ascii="Tahoma" w:hAnsi="Tahoma" w:cs="Tahoma"/>
          <w:sz w:val="19"/>
          <w:szCs w:val="19"/>
        </w:rPr>
        <w:t xml:space="preserve"> </w:t>
      </w:r>
      <w:r w:rsidRPr="005B74B2">
        <w:rPr>
          <w:rFonts w:ascii="Tahoma" w:hAnsi="Tahoma" w:cs="Tahoma"/>
          <w:sz w:val="19"/>
          <w:szCs w:val="19"/>
        </w:rPr>
        <w:t>Some instances of this legislation require organizations to notify their customers whenever a data breach occurs and there is reasonable suspicion that personal information has been acquired by an unauthorized party; others require notification only when there is significant risk that personal information involved in a data breach will be used to harm individuals.</w:t>
      </w:r>
    </w:p>
    <w:p w:rsidR="000F5F93" w:rsidRPr="000F5F93" w:rsidRDefault="005B74B2" w:rsidP="000F5F93">
      <w:pPr>
        <w:pStyle w:val="H3"/>
        <w:spacing w:before="240"/>
      </w:pPr>
      <w:r w:rsidRPr="005B74B2">
        <w:t>Data Breach Risks</w:t>
      </w:r>
      <w:r w:rsidR="00EC68FD">
        <w:t xml:space="preserve"> and Concerns</w:t>
      </w:r>
    </w:p>
    <w:p w:rsidR="000F5F93" w:rsidRPr="000F5F93" w:rsidRDefault="005B74B2" w:rsidP="000F5F93">
      <w:pPr>
        <w:rPr>
          <w:rFonts w:ascii="Tahoma" w:hAnsi="Tahoma" w:cs="Tahoma"/>
          <w:sz w:val="19"/>
          <w:szCs w:val="19"/>
        </w:rPr>
      </w:pPr>
      <w:r w:rsidRPr="005B74B2">
        <w:rPr>
          <w:rFonts w:ascii="Tahoma" w:hAnsi="Tahoma" w:cs="Tahoma"/>
          <w:sz w:val="19"/>
          <w:szCs w:val="19"/>
        </w:rPr>
        <w:t xml:space="preserve">Recent, well-publicized instances of data breaches have intensified public </w:t>
      </w:r>
      <w:r w:rsidR="00AC2978">
        <w:rPr>
          <w:rFonts w:ascii="Tahoma" w:hAnsi="Tahoma" w:cs="Tahoma"/>
          <w:sz w:val="19"/>
          <w:szCs w:val="19"/>
        </w:rPr>
        <w:t>concern about</w:t>
      </w:r>
      <w:r>
        <w:rPr>
          <w:rFonts w:ascii="Tahoma" w:hAnsi="Tahoma" w:cs="Tahoma"/>
          <w:sz w:val="19"/>
          <w:szCs w:val="19"/>
        </w:rPr>
        <w:t xml:space="preserve"> the resulting risks such as fraud </w:t>
      </w:r>
      <w:r w:rsidR="00AC2978">
        <w:rPr>
          <w:rFonts w:ascii="Tahoma" w:hAnsi="Tahoma" w:cs="Tahoma"/>
          <w:sz w:val="19"/>
          <w:szCs w:val="19"/>
        </w:rPr>
        <w:t>and</w:t>
      </w:r>
      <w:r>
        <w:rPr>
          <w:rFonts w:ascii="Tahoma" w:hAnsi="Tahoma" w:cs="Tahoma"/>
          <w:sz w:val="19"/>
          <w:szCs w:val="19"/>
        </w:rPr>
        <w:t xml:space="preserve"> identity theft</w:t>
      </w:r>
      <w:r w:rsidRPr="005B74B2">
        <w:rPr>
          <w:rFonts w:ascii="Tahoma" w:hAnsi="Tahoma" w:cs="Tahoma"/>
          <w:sz w:val="19"/>
          <w:szCs w:val="19"/>
        </w:rPr>
        <w:t xml:space="preserve">. According to </w:t>
      </w:r>
      <w:proofErr w:type="spellStart"/>
      <w:r w:rsidRPr="005B74B2">
        <w:rPr>
          <w:rFonts w:ascii="Tahoma" w:hAnsi="Tahoma" w:cs="Tahoma"/>
          <w:sz w:val="19"/>
          <w:szCs w:val="19"/>
        </w:rPr>
        <w:t>DataLossDB</w:t>
      </w:r>
      <w:proofErr w:type="spellEnd"/>
      <w:r w:rsidRPr="005B74B2">
        <w:rPr>
          <w:rFonts w:ascii="Tahoma" w:hAnsi="Tahoma" w:cs="Tahoma"/>
          <w:sz w:val="19"/>
          <w:szCs w:val="19"/>
        </w:rPr>
        <w:t xml:space="preserve"> (http://datalossdb.org/), a nonprofit group that tracks data breach incidents using public information, at least 162 million records containing personal information were compromised worldwide in 2007, </w:t>
      </w:r>
      <w:r w:rsidR="00F1516E">
        <w:rPr>
          <w:rFonts w:ascii="Tahoma" w:hAnsi="Tahoma" w:cs="Tahoma"/>
          <w:sz w:val="19"/>
          <w:szCs w:val="19"/>
        </w:rPr>
        <w:t>an increase from</w:t>
      </w:r>
      <w:r w:rsidRPr="005B74B2">
        <w:rPr>
          <w:rFonts w:ascii="Tahoma" w:hAnsi="Tahoma" w:cs="Tahoma"/>
          <w:sz w:val="19"/>
          <w:szCs w:val="19"/>
        </w:rPr>
        <w:t xml:space="preserve"> 49 million records in the previous year. </w:t>
      </w:r>
      <w:r w:rsidR="00F1516E">
        <w:rPr>
          <w:rFonts w:ascii="Tahoma" w:hAnsi="Tahoma" w:cs="Tahoma"/>
          <w:sz w:val="19"/>
          <w:szCs w:val="19"/>
        </w:rPr>
        <w:t xml:space="preserve">The actual number could be significantly higher. </w:t>
      </w:r>
      <w:r w:rsidRPr="005B74B2">
        <w:rPr>
          <w:rFonts w:ascii="Tahoma" w:hAnsi="Tahoma" w:cs="Tahoma"/>
          <w:sz w:val="19"/>
          <w:szCs w:val="19"/>
        </w:rPr>
        <w:t xml:space="preserve">A 2008 InformationWeek survey of 1,100 IT and business professionals found 66 percent felt that they were as vulnerable, </w:t>
      </w:r>
      <w:proofErr w:type="gramStart"/>
      <w:r w:rsidRPr="005B74B2">
        <w:rPr>
          <w:rFonts w:ascii="Tahoma" w:hAnsi="Tahoma" w:cs="Tahoma"/>
          <w:sz w:val="19"/>
          <w:szCs w:val="19"/>
        </w:rPr>
        <w:t>or</w:t>
      </w:r>
      <w:proofErr w:type="gramEnd"/>
      <w:r w:rsidRPr="005B74B2">
        <w:rPr>
          <w:rFonts w:ascii="Tahoma" w:hAnsi="Tahoma" w:cs="Tahoma"/>
          <w:sz w:val="19"/>
          <w:szCs w:val="19"/>
        </w:rPr>
        <w:t xml:space="preserve"> more vulnerable, to breaches and malicious attacks than the year before.</w:t>
      </w:r>
    </w:p>
    <w:p w:rsidR="000F5F93" w:rsidRPr="000F5F93" w:rsidRDefault="005B74B2" w:rsidP="000F5F93">
      <w:pPr>
        <w:rPr>
          <w:rFonts w:ascii="Tahoma" w:hAnsi="Tahoma" w:cs="Tahoma"/>
          <w:sz w:val="19"/>
          <w:szCs w:val="19"/>
        </w:rPr>
      </w:pPr>
      <w:r w:rsidRPr="005B74B2">
        <w:rPr>
          <w:rFonts w:ascii="Tahoma" w:hAnsi="Tahoma" w:cs="Tahoma"/>
          <w:sz w:val="19"/>
          <w:szCs w:val="19"/>
        </w:rPr>
        <w:t xml:space="preserve">For consumers, a data breach can result in several potential dangers. If financial information is compromised, the consumer might endure financial loss arising from fraud. </w:t>
      </w:r>
      <w:r w:rsidR="00AC2978">
        <w:rPr>
          <w:rFonts w:ascii="Tahoma" w:hAnsi="Tahoma" w:cs="Tahoma"/>
          <w:sz w:val="19"/>
          <w:szCs w:val="19"/>
        </w:rPr>
        <w:t xml:space="preserve">Although </w:t>
      </w:r>
      <w:r w:rsidRPr="005B74B2">
        <w:rPr>
          <w:rFonts w:ascii="Tahoma" w:hAnsi="Tahoma" w:cs="Tahoma"/>
          <w:sz w:val="19"/>
          <w:szCs w:val="19"/>
        </w:rPr>
        <w:t xml:space="preserve">such losses are </w:t>
      </w:r>
      <w:r w:rsidR="00F1516E">
        <w:rPr>
          <w:rFonts w:ascii="Tahoma" w:hAnsi="Tahoma" w:cs="Tahoma"/>
          <w:sz w:val="19"/>
          <w:szCs w:val="19"/>
        </w:rPr>
        <w:t>often</w:t>
      </w:r>
      <w:r w:rsidR="00F1516E" w:rsidRPr="005B74B2">
        <w:rPr>
          <w:rFonts w:ascii="Tahoma" w:hAnsi="Tahoma" w:cs="Tahoma"/>
          <w:sz w:val="19"/>
          <w:szCs w:val="19"/>
        </w:rPr>
        <w:t xml:space="preserve"> </w:t>
      </w:r>
      <w:r w:rsidRPr="005B74B2">
        <w:rPr>
          <w:rFonts w:ascii="Tahoma" w:hAnsi="Tahoma" w:cs="Tahoma"/>
          <w:sz w:val="19"/>
          <w:szCs w:val="19"/>
        </w:rPr>
        <w:t>absorbed by financial institutions or retailers while the consumer’s financial account is reimbursed</w:t>
      </w:r>
      <w:r w:rsidR="00AC2978">
        <w:rPr>
          <w:rFonts w:ascii="Tahoma" w:hAnsi="Tahoma" w:cs="Tahoma"/>
          <w:sz w:val="19"/>
          <w:szCs w:val="19"/>
        </w:rPr>
        <w:t>, victim</w:t>
      </w:r>
      <w:r w:rsidRPr="005B74B2">
        <w:rPr>
          <w:rFonts w:ascii="Tahoma" w:hAnsi="Tahoma" w:cs="Tahoma"/>
          <w:sz w:val="19"/>
          <w:szCs w:val="19"/>
        </w:rPr>
        <w:t xml:space="preserve">s may still </w:t>
      </w:r>
      <w:r w:rsidR="003C7F13">
        <w:rPr>
          <w:rFonts w:ascii="Tahoma" w:hAnsi="Tahoma" w:cs="Tahoma"/>
          <w:sz w:val="19"/>
          <w:szCs w:val="19"/>
        </w:rPr>
        <w:t>face</w:t>
      </w:r>
      <w:r w:rsidRPr="005B74B2">
        <w:rPr>
          <w:rFonts w:ascii="Tahoma" w:hAnsi="Tahoma" w:cs="Tahoma"/>
          <w:sz w:val="19"/>
          <w:szCs w:val="19"/>
        </w:rPr>
        <w:t xml:space="preserve"> problems</w:t>
      </w:r>
      <w:r w:rsidR="003C7F13">
        <w:rPr>
          <w:rFonts w:ascii="Tahoma" w:hAnsi="Tahoma" w:cs="Tahoma"/>
          <w:sz w:val="19"/>
          <w:szCs w:val="19"/>
        </w:rPr>
        <w:t xml:space="preserve"> with </w:t>
      </w:r>
      <w:r w:rsidRPr="005B74B2">
        <w:rPr>
          <w:rFonts w:ascii="Tahoma" w:hAnsi="Tahoma" w:cs="Tahoma"/>
          <w:sz w:val="19"/>
          <w:szCs w:val="19"/>
        </w:rPr>
        <w:t>paying</w:t>
      </w:r>
      <w:r>
        <w:rPr>
          <w:rFonts w:ascii="Tahoma" w:hAnsi="Tahoma" w:cs="Tahoma"/>
          <w:sz w:val="19"/>
          <w:szCs w:val="19"/>
        </w:rPr>
        <w:t xml:space="preserve"> their bills</w:t>
      </w:r>
      <w:r w:rsidR="003C7F13">
        <w:rPr>
          <w:rFonts w:ascii="Tahoma" w:hAnsi="Tahoma" w:cs="Tahoma"/>
          <w:sz w:val="19"/>
          <w:szCs w:val="19"/>
        </w:rPr>
        <w:t>,</w:t>
      </w:r>
      <w:r w:rsidRPr="005B74B2">
        <w:rPr>
          <w:rFonts w:ascii="Tahoma" w:hAnsi="Tahoma" w:cs="Tahoma"/>
          <w:sz w:val="19"/>
          <w:szCs w:val="19"/>
        </w:rPr>
        <w:t xml:space="preserve"> clearing checks</w:t>
      </w:r>
      <w:r w:rsidR="003C7F13">
        <w:rPr>
          <w:rFonts w:ascii="Tahoma" w:hAnsi="Tahoma" w:cs="Tahoma"/>
          <w:sz w:val="19"/>
          <w:szCs w:val="19"/>
        </w:rPr>
        <w:t xml:space="preserve"> and undoing damage to</w:t>
      </w:r>
      <w:r w:rsidRPr="005B74B2">
        <w:rPr>
          <w:rFonts w:ascii="Tahoma" w:hAnsi="Tahoma" w:cs="Tahoma"/>
          <w:sz w:val="19"/>
          <w:szCs w:val="19"/>
        </w:rPr>
        <w:t xml:space="preserve"> their credit reports. Moreover, losses borne by financial institutions and retailers are eventually passed to consumers in the form of increased fees and surcharges, and higher prices for goods and services.</w:t>
      </w:r>
    </w:p>
    <w:p w:rsidR="000F5F93" w:rsidRPr="000F5F93" w:rsidRDefault="005B74B2" w:rsidP="000F5F93">
      <w:pPr>
        <w:pStyle w:val="H3"/>
        <w:spacing w:before="240"/>
      </w:pPr>
      <w:r w:rsidRPr="005B74B2">
        <w:t>Guidance for Organizations: Responding to a Data Breach</w:t>
      </w:r>
    </w:p>
    <w:p w:rsidR="00BA62FD" w:rsidRPr="006B59A1" w:rsidRDefault="00BA62FD" w:rsidP="00BA62FD">
      <w:pPr>
        <w:rPr>
          <w:rFonts w:ascii="Tahoma" w:hAnsi="Tahoma" w:cs="Tahoma"/>
          <w:sz w:val="19"/>
          <w:szCs w:val="19"/>
        </w:rPr>
      </w:pPr>
      <w:r w:rsidRPr="006B59A1">
        <w:rPr>
          <w:rFonts w:ascii="Tahoma" w:hAnsi="Tahoma" w:cs="Tahoma"/>
          <w:sz w:val="19"/>
          <w:szCs w:val="19"/>
        </w:rPr>
        <w:t>Microsoft recommends that companies choose and implement data security and privacy policies in the context of a comprehensive Data Governance strategy as part of their overall Governance, Risk and Compliance (GRC) strategy. This strategy will comprise policies, procedures and standards that will enable effective use of the organization’s structured and unstructured data:</w:t>
      </w:r>
    </w:p>
    <w:p w:rsidR="00BA62FD" w:rsidRPr="006B59A1" w:rsidRDefault="00BA62FD" w:rsidP="00BA62FD">
      <w:pPr>
        <w:pStyle w:val="ListParagraph"/>
        <w:numPr>
          <w:ilvl w:val="0"/>
          <w:numId w:val="9"/>
        </w:numPr>
        <w:rPr>
          <w:rFonts w:ascii="Tahoma" w:hAnsi="Tahoma" w:cs="Tahoma"/>
          <w:sz w:val="19"/>
          <w:szCs w:val="19"/>
        </w:rPr>
      </w:pPr>
      <w:r w:rsidRPr="006B59A1">
        <w:rPr>
          <w:rFonts w:ascii="Tahoma" w:hAnsi="Tahoma" w:cs="Tahoma"/>
          <w:sz w:val="19"/>
          <w:szCs w:val="19"/>
        </w:rPr>
        <w:t>To improve business decision making due to increased data accuracy.</w:t>
      </w:r>
    </w:p>
    <w:p w:rsidR="00BA62FD" w:rsidRPr="006B59A1" w:rsidRDefault="00BA62FD" w:rsidP="00BA62FD">
      <w:pPr>
        <w:pStyle w:val="ListParagraph"/>
        <w:numPr>
          <w:ilvl w:val="0"/>
          <w:numId w:val="9"/>
        </w:numPr>
        <w:rPr>
          <w:rFonts w:ascii="Tahoma" w:hAnsi="Tahoma" w:cs="Tahoma"/>
          <w:sz w:val="19"/>
          <w:szCs w:val="19"/>
        </w:rPr>
      </w:pPr>
      <w:r w:rsidRPr="006B59A1">
        <w:rPr>
          <w:rFonts w:ascii="Tahoma" w:hAnsi="Tahoma" w:cs="Tahoma"/>
          <w:sz w:val="19"/>
          <w:szCs w:val="19"/>
        </w:rPr>
        <w:t>Reduce data redundancy and related maintenance costs.</w:t>
      </w:r>
    </w:p>
    <w:p w:rsidR="00BA62FD" w:rsidRPr="006B59A1" w:rsidRDefault="00BA62FD" w:rsidP="00BA62FD">
      <w:pPr>
        <w:pStyle w:val="ListParagraph"/>
        <w:numPr>
          <w:ilvl w:val="0"/>
          <w:numId w:val="9"/>
        </w:numPr>
        <w:rPr>
          <w:rFonts w:ascii="Tahoma" w:hAnsi="Tahoma" w:cs="Tahoma"/>
          <w:sz w:val="19"/>
          <w:szCs w:val="19"/>
        </w:rPr>
      </w:pPr>
      <w:r w:rsidRPr="006B59A1">
        <w:rPr>
          <w:rFonts w:ascii="Tahoma" w:hAnsi="Tahoma" w:cs="Tahoma"/>
          <w:sz w:val="19"/>
          <w:szCs w:val="19"/>
        </w:rPr>
        <w:t>Comply with laws and regulations.</w:t>
      </w:r>
    </w:p>
    <w:p w:rsidR="00BA62FD" w:rsidRPr="006B59A1" w:rsidRDefault="00BA62FD" w:rsidP="00BA62FD">
      <w:pPr>
        <w:pStyle w:val="ListParagraph"/>
        <w:numPr>
          <w:ilvl w:val="0"/>
          <w:numId w:val="9"/>
        </w:numPr>
        <w:rPr>
          <w:rFonts w:ascii="Tahoma" w:hAnsi="Tahoma" w:cs="Tahoma"/>
          <w:sz w:val="19"/>
          <w:szCs w:val="19"/>
        </w:rPr>
      </w:pPr>
      <w:r w:rsidRPr="006B59A1">
        <w:rPr>
          <w:rFonts w:ascii="Tahoma" w:hAnsi="Tahoma" w:cs="Tahoma"/>
          <w:sz w:val="19"/>
          <w:szCs w:val="19"/>
        </w:rPr>
        <w:lastRenderedPageBreak/>
        <w:t xml:space="preserve">Reduce exposure of the company’s data to loss or theft. </w:t>
      </w:r>
    </w:p>
    <w:p w:rsidR="00BA62FD" w:rsidRPr="006B59A1" w:rsidRDefault="00BA62FD" w:rsidP="00BA62FD">
      <w:pPr>
        <w:rPr>
          <w:rFonts w:ascii="Tahoma" w:hAnsi="Tahoma" w:cs="Tahoma"/>
          <w:sz w:val="19"/>
          <w:szCs w:val="19"/>
        </w:rPr>
      </w:pPr>
      <w:r w:rsidRPr="006B59A1">
        <w:rPr>
          <w:rFonts w:ascii="Tahoma" w:hAnsi="Tahoma" w:cs="Tahoma"/>
          <w:sz w:val="19"/>
          <w:szCs w:val="19"/>
        </w:rPr>
        <w:t>In addition to the above described preemptive measures, organizations should have a breach notification response plan in place and tested before it is needed. Large organizations that do business in many different locales will likely have to conform to a complicated mixture of breach notification laws. Rather than trying to enact specific notification practices in every locale, organizations may find it simpler to uniformly adhere to the most stringent applicable requirements wherever possible.</w:t>
      </w:r>
    </w:p>
    <w:p w:rsidR="00BA62FD" w:rsidRPr="006B59A1" w:rsidRDefault="00BA62FD" w:rsidP="00BA62FD">
      <w:pPr>
        <w:rPr>
          <w:rFonts w:ascii="Tahoma" w:hAnsi="Tahoma" w:cs="Tahoma"/>
          <w:sz w:val="19"/>
          <w:szCs w:val="19"/>
        </w:rPr>
      </w:pPr>
      <w:r w:rsidRPr="006B59A1">
        <w:rPr>
          <w:rFonts w:ascii="Tahoma" w:hAnsi="Tahoma" w:cs="Tahoma"/>
          <w:sz w:val="19"/>
          <w:szCs w:val="19"/>
        </w:rPr>
        <w:t>Upon detecting a breach, an organization should:</w:t>
      </w:r>
    </w:p>
    <w:p w:rsidR="00BA62FD" w:rsidRPr="006B59A1" w:rsidRDefault="00BA62FD" w:rsidP="00BA62FD">
      <w:pPr>
        <w:pStyle w:val="ListParagraph"/>
        <w:numPr>
          <w:ilvl w:val="0"/>
          <w:numId w:val="6"/>
        </w:numPr>
        <w:rPr>
          <w:rFonts w:ascii="Tahoma" w:hAnsi="Tahoma" w:cs="Tahoma"/>
          <w:sz w:val="19"/>
          <w:szCs w:val="19"/>
        </w:rPr>
      </w:pPr>
      <w:r w:rsidRPr="006B59A1">
        <w:rPr>
          <w:rFonts w:ascii="Tahoma" w:hAnsi="Tahoma" w:cs="Tahoma"/>
          <w:b/>
          <w:sz w:val="19"/>
          <w:szCs w:val="19"/>
        </w:rPr>
        <w:t>Determine what personal information was compromised.</w:t>
      </w:r>
      <w:r w:rsidRPr="006B59A1">
        <w:rPr>
          <w:rFonts w:ascii="Tahoma" w:hAnsi="Tahoma" w:cs="Tahoma"/>
          <w:sz w:val="19"/>
          <w:szCs w:val="19"/>
        </w:rPr>
        <w:t xml:space="preserve"> This is essential to assessing the severity of the data breach and notifying those affected.</w:t>
      </w:r>
    </w:p>
    <w:p w:rsidR="00BA62FD" w:rsidRPr="00713817" w:rsidRDefault="00BA62FD" w:rsidP="00BA62FD">
      <w:pPr>
        <w:pStyle w:val="ListParagraph"/>
        <w:numPr>
          <w:ilvl w:val="0"/>
          <w:numId w:val="6"/>
        </w:numPr>
        <w:rPr>
          <w:rFonts w:ascii="Tahoma" w:hAnsi="Tahoma" w:cs="Tahoma"/>
          <w:b/>
          <w:sz w:val="19"/>
          <w:szCs w:val="19"/>
        </w:rPr>
      </w:pPr>
      <w:r w:rsidRPr="006B59A1">
        <w:rPr>
          <w:rFonts w:ascii="Tahoma" w:hAnsi="Tahoma" w:cs="Tahoma"/>
          <w:b/>
          <w:sz w:val="19"/>
          <w:szCs w:val="19"/>
        </w:rPr>
        <w:t xml:space="preserve">Identify mitigating circumstances. </w:t>
      </w:r>
      <w:r w:rsidRPr="006B59A1">
        <w:rPr>
          <w:rFonts w:ascii="Tahoma" w:hAnsi="Tahoma" w:cs="Tahoma"/>
          <w:sz w:val="19"/>
          <w:szCs w:val="19"/>
        </w:rPr>
        <w:t>Personal information that is lost or stolen might not actually be compromised if, for example, the data was protected using strong data encryption technologies.</w:t>
      </w:r>
    </w:p>
    <w:p w:rsidR="00713817" w:rsidRPr="00713817" w:rsidRDefault="00713817" w:rsidP="00713817">
      <w:pPr>
        <w:pStyle w:val="ListParagraph"/>
        <w:numPr>
          <w:ilvl w:val="0"/>
          <w:numId w:val="6"/>
        </w:numPr>
        <w:rPr>
          <w:rFonts w:ascii="Tahoma" w:hAnsi="Tahoma" w:cs="Tahoma"/>
          <w:b/>
          <w:sz w:val="19"/>
          <w:szCs w:val="19"/>
        </w:rPr>
      </w:pPr>
      <w:r w:rsidRPr="006B59A1">
        <w:rPr>
          <w:rFonts w:ascii="Tahoma" w:hAnsi="Tahoma" w:cs="Tahoma"/>
          <w:b/>
          <w:sz w:val="19"/>
          <w:szCs w:val="19"/>
        </w:rPr>
        <w:t>Notify law enforcement.</w:t>
      </w:r>
      <w:r w:rsidRPr="006B59A1">
        <w:rPr>
          <w:rFonts w:ascii="Tahoma" w:hAnsi="Tahoma" w:cs="Tahoma"/>
          <w:sz w:val="19"/>
          <w:szCs w:val="19"/>
        </w:rPr>
        <w:t xml:space="preserve"> Investigators may be able to apprehend the culprits before they can use the compromised personal information or commit additional crimes.</w:t>
      </w:r>
    </w:p>
    <w:p w:rsidR="00BA62FD" w:rsidRPr="006B59A1" w:rsidRDefault="00BA62FD" w:rsidP="00BA62FD">
      <w:pPr>
        <w:pStyle w:val="ListParagraph"/>
        <w:numPr>
          <w:ilvl w:val="0"/>
          <w:numId w:val="6"/>
        </w:numPr>
        <w:rPr>
          <w:rFonts w:ascii="Tahoma" w:hAnsi="Tahoma" w:cs="Tahoma"/>
          <w:b/>
          <w:sz w:val="19"/>
          <w:szCs w:val="19"/>
        </w:rPr>
      </w:pPr>
      <w:r w:rsidRPr="006B59A1">
        <w:rPr>
          <w:rFonts w:ascii="Tahoma" w:hAnsi="Tahoma" w:cs="Tahoma"/>
          <w:b/>
          <w:sz w:val="19"/>
          <w:szCs w:val="19"/>
        </w:rPr>
        <w:t xml:space="preserve">Secure affected systems and networks. </w:t>
      </w:r>
      <w:r w:rsidRPr="006B59A1">
        <w:rPr>
          <w:rFonts w:ascii="Tahoma" w:hAnsi="Tahoma" w:cs="Tahoma"/>
          <w:sz w:val="19"/>
          <w:szCs w:val="19"/>
        </w:rPr>
        <w:t>Once a data breach has been confirmed, take swift action to prevent further theft or loss of personal information.</w:t>
      </w:r>
    </w:p>
    <w:p w:rsidR="00BA62FD" w:rsidRPr="006B59A1" w:rsidRDefault="00BA62FD" w:rsidP="00BA62FD">
      <w:pPr>
        <w:pStyle w:val="ListParagraph"/>
        <w:numPr>
          <w:ilvl w:val="0"/>
          <w:numId w:val="6"/>
        </w:numPr>
        <w:rPr>
          <w:rFonts w:ascii="Tahoma" w:hAnsi="Tahoma" w:cs="Tahoma"/>
          <w:b/>
          <w:sz w:val="19"/>
          <w:szCs w:val="19"/>
        </w:rPr>
      </w:pPr>
      <w:r w:rsidRPr="006B59A1">
        <w:rPr>
          <w:rFonts w:ascii="Tahoma" w:hAnsi="Tahoma" w:cs="Tahoma"/>
          <w:b/>
          <w:sz w:val="19"/>
          <w:szCs w:val="19"/>
        </w:rPr>
        <w:t>Notify affected businesses.</w:t>
      </w:r>
      <w:r w:rsidRPr="006B59A1">
        <w:rPr>
          <w:rFonts w:ascii="Tahoma" w:hAnsi="Tahoma" w:cs="Tahoma"/>
          <w:sz w:val="19"/>
          <w:szCs w:val="19"/>
        </w:rPr>
        <w:t xml:space="preserve"> If financial information was breached, organizations should notify banks, credit card issuers and other affected institutions. Once notified, these businesses can take steps to limit potential financial loss to themselves and to retailers.</w:t>
      </w:r>
    </w:p>
    <w:p w:rsidR="00BA62FD" w:rsidRPr="006B59A1" w:rsidRDefault="00BA62FD" w:rsidP="00BA62FD">
      <w:pPr>
        <w:pStyle w:val="ListParagraph"/>
        <w:numPr>
          <w:ilvl w:val="0"/>
          <w:numId w:val="6"/>
        </w:numPr>
        <w:rPr>
          <w:rFonts w:ascii="Tahoma" w:hAnsi="Tahoma" w:cs="Tahoma"/>
          <w:b/>
          <w:sz w:val="19"/>
          <w:szCs w:val="19"/>
        </w:rPr>
      </w:pPr>
      <w:r w:rsidRPr="006B59A1">
        <w:rPr>
          <w:rFonts w:ascii="Tahoma" w:hAnsi="Tahoma" w:cs="Tahoma"/>
          <w:b/>
          <w:sz w:val="19"/>
          <w:szCs w:val="19"/>
        </w:rPr>
        <w:t>Notify individuals whose personal information was compromised.</w:t>
      </w:r>
      <w:r w:rsidRPr="006B59A1">
        <w:rPr>
          <w:rFonts w:ascii="Tahoma" w:hAnsi="Tahoma" w:cs="Tahoma"/>
          <w:sz w:val="19"/>
          <w:szCs w:val="19"/>
        </w:rPr>
        <w:t xml:space="preserve"> Organizations should notify individuals as soon as possible, but only after law enforcement officials confirm that notification will not compromise their investigation. The notice should clearly describe the following:</w:t>
      </w:r>
    </w:p>
    <w:p w:rsidR="00BA62FD" w:rsidRPr="006B59A1" w:rsidRDefault="00BA62FD" w:rsidP="00BA62FD">
      <w:pPr>
        <w:pStyle w:val="ListParagraph"/>
        <w:numPr>
          <w:ilvl w:val="0"/>
          <w:numId w:val="8"/>
        </w:numPr>
        <w:rPr>
          <w:rFonts w:ascii="Tahoma" w:hAnsi="Tahoma" w:cs="Tahoma"/>
          <w:b/>
          <w:sz w:val="19"/>
          <w:szCs w:val="19"/>
        </w:rPr>
      </w:pPr>
      <w:r w:rsidRPr="006B59A1">
        <w:rPr>
          <w:rFonts w:ascii="Tahoma" w:hAnsi="Tahoma" w:cs="Tahoma"/>
          <w:sz w:val="19"/>
          <w:szCs w:val="19"/>
        </w:rPr>
        <w:t>What the organization knows about the data breach and how it occurred.</w:t>
      </w:r>
    </w:p>
    <w:p w:rsidR="00BA62FD" w:rsidRPr="006B59A1" w:rsidRDefault="00BA62FD" w:rsidP="00BA62FD">
      <w:pPr>
        <w:pStyle w:val="ListParagraph"/>
        <w:numPr>
          <w:ilvl w:val="0"/>
          <w:numId w:val="8"/>
        </w:numPr>
        <w:rPr>
          <w:rFonts w:ascii="Tahoma" w:hAnsi="Tahoma" w:cs="Tahoma"/>
          <w:b/>
          <w:sz w:val="19"/>
          <w:szCs w:val="19"/>
        </w:rPr>
      </w:pPr>
      <w:r w:rsidRPr="006B59A1">
        <w:rPr>
          <w:rFonts w:ascii="Tahoma" w:hAnsi="Tahoma" w:cs="Tahoma"/>
          <w:sz w:val="19"/>
          <w:szCs w:val="19"/>
        </w:rPr>
        <w:t xml:space="preserve">What personal information was </w:t>
      </w:r>
      <w:proofErr w:type="gramStart"/>
      <w:r w:rsidRPr="006B59A1">
        <w:rPr>
          <w:rFonts w:ascii="Tahoma" w:hAnsi="Tahoma" w:cs="Tahoma"/>
          <w:sz w:val="19"/>
          <w:szCs w:val="19"/>
        </w:rPr>
        <w:t>compromised.</w:t>
      </w:r>
      <w:proofErr w:type="gramEnd"/>
    </w:p>
    <w:p w:rsidR="00BA62FD" w:rsidRPr="006B59A1" w:rsidRDefault="00BA62FD" w:rsidP="00BA62FD">
      <w:pPr>
        <w:pStyle w:val="ListParagraph"/>
        <w:numPr>
          <w:ilvl w:val="0"/>
          <w:numId w:val="8"/>
        </w:numPr>
        <w:rPr>
          <w:rFonts w:ascii="Tahoma" w:hAnsi="Tahoma" w:cs="Tahoma"/>
          <w:b/>
          <w:sz w:val="19"/>
          <w:szCs w:val="19"/>
        </w:rPr>
      </w:pPr>
      <w:r w:rsidRPr="006B59A1">
        <w:rPr>
          <w:rFonts w:ascii="Tahoma" w:hAnsi="Tahoma" w:cs="Tahoma"/>
          <w:sz w:val="19"/>
          <w:szCs w:val="19"/>
        </w:rPr>
        <w:t>Steps the organization is taking to help prevent a recurrence.</w:t>
      </w:r>
    </w:p>
    <w:p w:rsidR="00BA62FD" w:rsidRPr="006B59A1" w:rsidRDefault="00BA62FD" w:rsidP="00BA62FD">
      <w:pPr>
        <w:pStyle w:val="ListParagraph"/>
        <w:numPr>
          <w:ilvl w:val="0"/>
          <w:numId w:val="8"/>
        </w:numPr>
        <w:rPr>
          <w:rFonts w:ascii="Tahoma" w:hAnsi="Tahoma" w:cs="Tahoma"/>
          <w:b/>
          <w:sz w:val="19"/>
          <w:szCs w:val="19"/>
        </w:rPr>
      </w:pPr>
      <w:r w:rsidRPr="006B59A1">
        <w:rPr>
          <w:rFonts w:ascii="Tahoma" w:hAnsi="Tahoma" w:cs="Tahoma"/>
          <w:sz w:val="19"/>
          <w:szCs w:val="19"/>
        </w:rPr>
        <w:t>How affected customers can minimize risks of financial loss or identity theft.</w:t>
      </w:r>
    </w:p>
    <w:p w:rsidR="00BA62FD" w:rsidRPr="006B59A1" w:rsidRDefault="00BA62FD" w:rsidP="00BA62FD">
      <w:pPr>
        <w:pStyle w:val="ListParagraph"/>
        <w:numPr>
          <w:ilvl w:val="0"/>
          <w:numId w:val="8"/>
        </w:numPr>
        <w:rPr>
          <w:rFonts w:ascii="Tahoma" w:hAnsi="Tahoma" w:cs="Tahoma"/>
          <w:b/>
          <w:sz w:val="19"/>
          <w:szCs w:val="19"/>
        </w:rPr>
      </w:pPr>
      <w:r w:rsidRPr="006B59A1">
        <w:rPr>
          <w:rFonts w:ascii="Tahoma" w:hAnsi="Tahoma" w:cs="Tahoma"/>
          <w:sz w:val="19"/>
          <w:szCs w:val="19"/>
        </w:rPr>
        <w:t>How to contact law enforcement to report losses or crimes arising from the breach.</w:t>
      </w:r>
    </w:p>
    <w:p w:rsidR="00B30661" w:rsidRPr="000F5F93" w:rsidRDefault="005B74B2" w:rsidP="008418F8">
      <w:pPr>
        <w:pStyle w:val="Text"/>
        <w:spacing w:before="240"/>
        <w:rPr>
          <w:i/>
        </w:rPr>
      </w:pPr>
      <w:r w:rsidRPr="005B74B2">
        <w:rPr>
          <w:i/>
        </w:rPr>
        <w:t>For more information on Microsoft’s work in computer security, privacy, and online safety, please visit: www.microsoft.com/</w:t>
      </w:r>
      <w:r w:rsidRPr="005B74B2">
        <w:rPr>
          <w:rStyle w:val="CommentReference"/>
          <w:rFonts w:cs="Tahoma"/>
          <w:i/>
          <w:sz w:val="19"/>
          <w:szCs w:val="19"/>
        </w:rPr>
        <w:t>mscorp/twc</w:t>
      </w:r>
    </w:p>
    <w:sectPr w:rsidR="00B30661" w:rsidRPr="000F5F93" w:rsidSect="00A201BE">
      <w:headerReference w:type="default" r:id="rId12"/>
      <w:pgSz w:w="12240" w:h="15840" w:code="1"/>
      <w:pgMar w:top="28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476" w:rsidRDefault="00074476" w:rsidP="00E3479B">
      <w:pPr>
        <w:spacing w:after="0" w:line="240" w:lineRule="auto"/>
      </w:pPr>
      <w:r>
        <w:separator/>
      </w:r>
    </w:p>
  </w:endnote>
  <w:endnote w:type="continuationSeparator" w:id="1">
    <w:p w:rsidR="00074476" w:rsidRDefault="00074476" w:rsidP="00E34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egoe">
    <w:panose1 w:val="00000000000000000000"/>
    <w:charset w:val="00"/>
    <w:family w:val="swiss"/>
    <w:notTrueType/>
    <w:pitch w:val="default"/>
    <w:sig w:usb0="00000003" w:usb1="00000000" w:usb2="00000000" w:usb3="00000000" w:csb0="00000001" w:csb1="00000000"/>
  </w:font>
  <w:font w:name="Segoe-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476" w:rsidRDefault="00074476" w:rsidP="00E3479B">
      <w:pPr>
        <w:spacing w:after="0" w:line="240" w:lineRule="auto"/>
      </w:pPr>
      <w:r>
        <w:separator/>
      </w:r>
    </w:p>
  </w:footnote>
  <w:footnote w:type="continuationSeparator" w:id="1">
    <w:p w:rsidR="00074476" w:rsidRDefault="00074476" w:rsidP="00E34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79B" w:rsidRDefault="008178C6">
    <w:pPr>
      <w:pStyle w:val="Header"/>
    </w:pPr>
    <w:r>
      <w:rPr>
        <w:noProof/>
      </w:rPr>
      <w:pict>
        <v:shapetype id="_x0000_t32" coordsize="21600,21600" o:spt="32" o:oned="t" path="m,l21600,21600e" filled="f">
          <v:path arrowok="t" fillok="f" o:connecttype="none"/>
          <o:lock v:ext="edit" shapetype="t"/>
        </v:shapetype>
        <v:shape id="_x0000_s13315" type="#_x0000_t32" style="position:absolute;margin-left:0;margin-top:1in;width:468pt;height:0;z-index:251660288;mso-position-horizontal-relative:margin;mso-position-vertical-relative:page" o:connectortype="straight" strokecolor="#034981" strokeweight="3pt">
          <w10:wrap anchorx="margin" anchory="page"/>
        </v:shape>
      </w:pict>
    </w:r>
    <w:r>
      <w:rPr>
        <w:noProof/>
      </w:rPr>
      <w:pict>
        <v:shapetype id="_x0000_t202" coordsize="21600,21600" o:spt="202" path="m,l,21600r21600,l21600,xe">
          <v:stroke joinstyle="miter"/>
          <v:path gradientshapeok="t" o:connecttype="rect"/>
        </v:shapetype>
        <v:shape id="_x0000_s13314" type="#_x0000_t202" style="position:absolute;margin-left:249.75pt;margin-top:39pt;width:219pt;height:16.5pt;z-index:251659264" filled="f" stroked="f">
          <v:textbox style="mso-next-textbox:#_x0000_s13314" inset="0,0,0,0">
            <w:txbxContent>
              <w:p w:rsidR="00E3479B" w:rsidRPr="00C16DE2" w:rsidRDefault="000F5F93" w:rsidP="00E3479B">
                <w:pPr>
                  <w:pStyle w:val="HeaderText"/>
                </w:pPr>
                <w:r>
                  <w:t>Microsoft &amp; Data Breach Notification</w:t>
                </w:r>
              </w:p>
            </w:txbxContent>
          </v:textbox>
        </v:shape>
      </w:pict>
    </w:r>
    <w:r>
      <w:rPr>
        <w:noProof/>
      </w:rPr>
      <w:pict>
        <v:shape id="_x0000_s13313" type="#_x0000_t202" style="position:absolute;margin-left:446.25pt;margin-top:21.75pt;width:21pt;height:15.75pt;z-index:251658240" filled="f" stroked="f">
          <v:textbox inset="0,0,0,0">
            <w:txbxContent>
              <w:p w:rsidR="00E3479B" w:rsidRPr="00C760B5" w:rsidRDefault="008178C6" w:rsidP="00E3479B">
                <w:pPr>
                  <w:pStyle w:val="HeaderText"/>
                  <w:rPr>
                    <w:i w:val="0"/>
                    <w:szCs w:val="18"/>
                  </w:rPr>
                </w:pPr>
                <w:r w:rsidRPr="00C760B5">
                  <w:rPr>
                    <w:i w:val="0"/>
                    <w:szCs w:val="18"/>
                  </w:rPr>
                  <w:fldChar w:fldCharType="begin"/>
                </w:r>
                <w:r w:rsidR="00E3479B" w:rsidRPr="00C760B5">
                  <w:rPr>
                    <w:i w:val="0"/>
                    <w:szCs w:val="18"/>
                  </w:rPr>
                  <w:instrText xml:space="preserve"> PAGE   \* MERGEFORMAT </w:instrText>
                </w:r>
                <w:r w:rsidRPr="00C760B5">
                  <w:rPr>
                    <w:i w:val="0"/>
                    <w:szCs w:val="18"/>
                  </w:rPr>
                  <w:fldChar w:fldCharType="separate"/>
                </w:r>
                <w:r w:rsidR="00705ED0">
                  <w:rPr>
                    <w:i w:val="0"/>
                    <w:noProof/>
                    <w:szCs w:val="18"/>
                  </w:rPr>
                  <w:t>1</w:t>
                </w:r>
                <w:r w:rsidRPr="00C760B5">
                  <w:rPr>
                    <w:i w:val="0"/>
                    <w:szCs w:val="18"/>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C7D"/>
    <w:multiLevelType w:val="hybridMultilevel"/>
    <w:tmpl w:val="375AC2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8E86F81"/>
    <w:multiLevelType w:val="hybridMultilevel"/>
    <w:tmpl w:val="BE80E154"/>
    <w:lvl w:ilvl="0" w:tplc="0DA4B7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15ABD"/>
    <w:multiLevelType w:val="hybridMultilevel"/>
    <w:tmpl w:val="AB148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CA1A01"/>
    <w:multiLevelType w:val="hybridMultilevel"/>
    <w:tmpl w:val="7EB6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AA012D"/>
    <w:multiLevelType w:val="hybridMultilevel"/>
    <w:tmpl w:val="ADDA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E13C6"/>
    <w:multiLevelType w:val="hybridMultilevel"/>
    <w:tmpl w:val="966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63747"/>
    <w:multiLevelType w:val="hybridMultilevel"/>
    <w:tmpl w:val="AFF601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53564264"/>
    <w:multiLevelType w:val="hybridMultilevel"/>
    <w:tmpl w:val="5F4A0664"/>
    <w:lvl w:ilvl="0" w:tplc="A768B500">
      <w:start w:val="1"/>
      <w:numFmt w:val="bullet"/>
      <w:pStyle w:val="Tex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77783D"/>
    <w:multiLevelType w:val="hybridMultilevel"/>
    <w:tmpl w:val="188AEA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7"/>
  </w:num>
  <w:num w:numId="6">
    <w:abstractNumId w:val="1"/>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7"/>
    <o:shapelayout v:ext="edit">
      <o:idmap v:ext="edit" data="13"/>
      <o:rules v:ext="edit">
        <o:r id="V:Rule2" type="connector" idref="#_x0000_s13315"/>
      </o:rules>
    </o:shapelayout>
  </w:hdrShapeDefaults>
  <w:footnotePr>
    <w:footnote w:id="0"/>
    <w:footnote w:id="1"/>
  </w:footnotePr>
  <w:endnotePr>
    <w:endnote w:id="0"/>
    <w:endnote w:id="1"/>
  </w:endnotePr>
  <w:compat/>
  <w:rsids>
    <w:rsidRoot w:val="0032474F"/>
    <w:rsid w:val="00040ECF"/>
    <w:rsid w:val="000455F5"/>
    <w:rsid w:val="0004729B"/>
    <w:rsid w:val="00074476"/>
    <w:rsid w:val="000756B3"/>
    <w:rsid w:val="000A0866"/>
    <w:rsid w:val="000E0DC0"/>
    <w:rsid w:val="000E445F"/>
    <w:rsid w:val="000F5F93"/>
    <w:rsid w:val="00107C87"/>
    <w:rsid w:val="001142EF"/>
    <w:rsid w:val="00135CC9"/>
    <w:rsid w:val="00137EC8"/>
    <w:rsid w:val="00155CF9"/>
    <w:rsid w:val="00191C07"/>
    <w:rsid w:val="001E282C"/>
    <w:rsid w:val="001E5D44"/>
    <w:rsid w:val="001F5FE6"/>
    <w:rsid w:val="00200B01"/>
    <w:rsid w:val="00206A23"/>
    <w:rsid w:val="00207D5A"/>
    <w:rsid w:val="00233E83"/>
    <w:rsid w:val="002458D1"/>
    <w:rsid w:val="00274171"/>
    <w:rsid w:val="00284548"/>
    <w:rsid w:val="002C6047"/>
    <w:rsid w:val="002D0B18"/>
    <w:rsid w:val="0032474F"/>
    <w:rsid w:val="00331009"/>
    <w:rsid w:val="00333538"/>
    <w:rsid w:val="00344627"/>
    <w:rsid w:val="00350765"/>
    <w:rsid w:val="00352A14"/>
    <w:rsid w:val="003677D4"/>
    <w:rsid w:val="00370372"/>
    <w:rsid w:val="003807B9"/>
    <w:rsid w:val="003C7F13"/>
    <w:rsid w:val="0040675A"/>
    <w:rsid w:val="00410AD4"/>
    <w:rsid w:val="00421DF1"/>
    <w:rsid w:val="00425AB9"/>
    <w:rsid w:val="00445FD5"/>
    <w:rsid w:val="0045158A"/>
    <w:rsid w:val="004522FD"/>
    <w:rsid w:val="00457258"/>
    <w:rsid w:val="00483BF5"/>
    <w:rsid w:val="004B23CB"/>
    <w:rsid w:val="004C24CA"/>
    <w:rsid w:val="004E0BA0"/>
    <w:rsid w:val="004E6623"/>
    <w:rsid w:val="005035E4"/>
    <w:rsid w:val="005154B4"/>
    <w:rsid w:val="0058353B"/>
    <w:rsid w:val="005966CF"/>
    <w:rsid w:val="005B08AE"/>
    <w:rsid w:val="005B74B2"/>
    <w:rsid w:val="005D4B7C"/>
    <w:rsid w:val="005D514E"/>
    <w:rsid w:val="005D6996"/>
    <w:rsid w:val="005E0E4E"/>
    <w:rsid w:val="005F1BC0"/>
    <w:rsid w:val="0060374D"/>
    <w:rsid w:val="006124B2"/>
    <w:rsid w:val="00661DD4"/>
    <w:rsid w:val="006976E6"/>
    <w:rsid w:val="006B59A1"/>
    <w:rsid w:val="006C53AC"/>
    <w:rsid w:val="00705ED0"/>
    <w:rsid w:val="007073A9"/>
    <w:rsid w:val="00713817"/>
    <w:rsid w:val="00737E36"/>
    <w:rsid w:val="00784C7D"/>
    <w:rsid w:val="007934A6"/>
    <w:rsid w:val="00795ADD"/>
    <w:rsid w:val="007B2159"/>
    <w:rsid w:val="008178C6"/>
    <w:rsid w:val="00827308"/>
    <w:rsid w:val="008418F8"/>
    <w:rsid w:val="008422AF"/>
    <w:rsid w:val="008832F5"/>
    <w:rsid w:val="008B3248"/>
    <w:rsid w:val="008F5C72"/>
    <w:rsid w:val="008F777C"/>
    <w:rsid w:val="009337E6"/>
    <w:rsid w:val="00933897"/>
    <w:rsid w:val="00950812"/>
    <w:rsid w:val="00964BA2"/>
    <w:rsid w:val="00993F93"/>
    <w:rsid w:val="009A241D"/>
    <w:rsid w:val="00A037F1"/>
    <w:rsid w:val="00A1425B"/>
    <w:rsid w:val="00A201BE"/>
    <w:rsid w:val="00A204F7"/>
    <w:rsid w:val="00A36D54"/>
    <w:rsid w:val="00A421F0"/>
    <w:rsid w:val="00A805AF"/>
    <w:rsid w:val="00A80628"/>
    <w:rsid w:val="00A95EFD"/>
    <w:rsid w:val="00AB3C81"/>
    <w:rsid w:val="00AC2978"/>
    <w:rsid w:val="00AD69A9"/>
    <w:rsid w:val="00B217AE"/>
    <w:rsid w:val="00B30661"/>
    <w:rsid w:val="00B34568"/>
    <w:rsid w:val="00B54CC8"/>
    <w:rsid w:val="00B74D37"/>
    <w:rsid w:val="00BA320F"/>
    <w:rsid w:val="00BA62FD"/>
    <w:rsid w:val="00BB1C2D"/>
    <w:rsid w:val="00BE3AEF"/>
    <w:rsid w:val="00C3550F"/>
    <w:rsid w:val="00C52CB3"/>
    <w:rsid w:val="00C61F87"/>
    <w:rsid w:val="00C87F3E"/>
    <w:rsid w:val="00CC60EE"/>
    <w:rsid w:val="00D1329D"/>
    <w:rsid w:val="00D3131F"/>
    <w:rsid w:val="00D4265B"/>
    <w:rsid w:val="00D72482"/>
    <w:rsid w:val="00DA2871"/>
    <w:rsid w:val="00DB2BD9"/>
    <w:rsid w:val="00DC45C9"/>
    <w:rsid w:val="00DC7932"/>
    <w:rsid w:val="00DD09CE"/>
    <w:rsid w:val="00E3479B"/>
    <w:rsid w:val="00E63B60"/>
    <w:rsid w:val="00EA1A1D"/>
    <w:rsid w:val="00EC68FD"/>
    <w:rsid w:val="00EC6FB9"/>
    <w:rsid w:val="00F01F16"/>
    <w:rsid w:val="00F1516E"/>
    <w:rsid w:val="00F209DF"/>
    <w:rsid w:val="00F24955"/>
    <w:rsid w:val="00FB063D"/>
    <w:rsid w:val="00FE5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F"/>
    <w:rPr>
      <w:rFonts w:ascii="Tahoma" w:hAnsi="Tahoma" w:cs="Tahoma"/>
      <w:sz w:val="16"/>
      <w:szCs w:val="16"/>
    </w:rPr>
  </w:style>
  <w:style w:type="character" w:styleId="Hyperlink">
    <w:name w:val="Hyperlink"/>
    <w:basedOn w:val="DefaultParagraphFont"/>
    <w:uiPriority w:val="99"/>
    <w:unhideWhenUsed/>
    <w:rsid w:val="00D3131F"/>
    <w:rPr>
      <w:color w:val="0000FF" w:themeColor="hyperlink"/>
      <w:u w:val="single"/>
    </w:rPr>
  </w:style>
  <w:style w:type="character" w:styleId="CommentReference">
    <w:name w:val="annotation reference"/>
    <w:basedOn w:val="DefaultParagraphFont"/>
    <w:uiPriority w:val="99"/>
    <w:semiHidden/>
    <w:rsid w:val="00D3131F"/>
    <w:rPr>
      <w:rFonts w:cs="Times New Roman"/>
      <w:sz w:val="16"/>
      <w:szCs w:val="16"/>
    </w:rPr>
  </w:style>
  <w:style w:type="paragraph" w:styleId="CommentText">
    <w:name w:val="annotation text"/>
    <w:basedOn w:val="Normal"/>
    <w:link w:val="CommentTextChar"/>
    <w:uiPriority w:val="99"/>
    <w:rsid w:val="00D313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3131F"/>
    <w:rPr>
      <w:rFonts w:ascii="Times New Roman" w:eastAsia="Times New Roman" w:hAnsi="Times New Roman" w:cs="Times New Roman"/>
      <w:sz w:val="20"/>
      <w:szCs w:val="20"/>
    </w:rPr>
  </w:style>
  <w:style w:type="paragraph" w:styleId="ListParagraph">
    <w:name w:val="List Paragraph"/>
    <w:basedOn w:val="Normal"/>
    <w:uiPriority w:val="34"/>
    <w:qFormat/>
    <w:rsid w:val="00D3131F"/>
    <w:pPr>
      <w:ind w:left="720"/>
      <w:contextualSpacing/>
    </w:pPr>
  </w:style>
  <w:style w:type="paragraph" w:styleId="CommentSubject">
    <w:name w:val="annotation subject"/>
    <w:basedOn w:val="CommentText"/>
    <w:next w:val="CommentText"/>
    <w:link w:val="CommentSubjectChar"/>
    <w:uiPriority w:val="99"/>
    <w:semiHidden/>
    <w:unhideWhenUsed/>
    <w:rsid w:val="004B23C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23CB"/>
    <w:rPr>
      <w:b/>
      <w:bCs/>
    </w:rPr>
  </w:style>
  <w:style w:type="character" w:styleId="FollowedHyperlink">
    <w:name w:val="FollowedHyperlink"/>
    <w:basedOn w:val="DefaultParagraphFont"/>
    <w:uiPriority w:val="99"/>
    <w:semiHidden/>
    <w:unhideWhenUsed/>
    <w:rsid w:val="005D4B7C"/>
    <w:rPr>
      <w:color w:val="800080" w:themeColor="followedHyperlink"/>
      <w:u w:val="single"/>
    </w:rPr>
  </w:style>
  <w:style w:type="paragraph" w:styleId="Footer">
    <w:name w:val="footer"/>
    <w:basedOn w:val="Normal"/>
    <w:link w:val="FooterChar"/>
    <w:uiPriority w:val="99"/>
    <w:rsid w:val="00191C07"/>
    <w:pPr>
      <w:tabs>
        <w:tab w:val="center" w:pos="4320"/>
        <w:tab w:val="right" w:pos="8640"/>
      </w:tabs>
      <w:spacing w:after="0" w:line="240" w:lineRule="auto"/>
    </w:pPr>
    <w:rPr>
      <w:rFonts w:ascii="Tahoma" w:eastAsia="MS Mincho" w:hAnsi="Tahoma" w:cs="Tahoma"/>
      <w:sz w:val="16"/>
      <w:szCs w:val="24"/>
      <w:lang w:eastAsia="ja-JP"/>
    </w:rPr>
  </w:style>
  <w:style w:type="character" w:customStyle="1" w:styleId="FooterChar">
    <w:name w:val="Footer Char"/>
    <w:basedOn w:val="DefaultParagraphFont"/>
    <w:link w:val="Footer"/>
    <w:uiPriority w:val="99"/>
    <w:rsid w:val="00191C07"/>
    <w:rPr>
      <w:rFonts w:ascii="Tahoma" w:eastAsia="MS Mincho" w:hAnsi="Tahoma" w:cs="Tahoma"/>
      <w:sz w:val="16"/>
      <w:szCs w:val="24"/>
      <w:lang w:eastAsia="ja-JP"/>
    </w:rPr>
  </w:style>
  <w:style w:type="character" w:styleId="FootnoteReference">
    <w:name w:val="footnote reference"/>
    <w:basedOn w:val="DefaultParagraphFont"/>
    <w:uiPriority w:val="99"/>
    <w:semiHidden/>
    <w:qFormat/>
    <w:rsid w:val="00191C07"/>
    <w:rPr>
      <w:rFonts w:ascii="Tahoma" w:hAnsi="Tahoma" w:cs="Times New Roman"/>
      <w:sz w:val="16"/>
      <w:vertAlign w:val="superscript"/>
    </w:rPr>
  </w:style>
  <w:style w:type="paragraph" w:styleId="FootnoteText">
    <w:name w:val="footnote text"/>
    <w:basedOn w:val="Normal"/>
    <w:link w:val="FootnoteTextChar"/>
    <w:uiPriority w:val="99"/>
    <w:semiHidden/>
    <w:qFormat/>
    <w:rsid w:val="00191C07"/>
    <w:pPr>
      <w:spacing w:after="80" w:line="180" w:lineRule="exact"/>
    </w:pPr>
    <w:rPr>
      <w:rFonts w:ascii="Tahoma" w:eastAsia="Times New Roman" w:hAnsi="Tahoma" w:cs="Times New Roman"/>
      <w:sz w:val="16"/>
      <w:szCs w:val="20"/>
    </w:rPr>
  </w:style>
  <w:style w:type="character" w:customStyle="1" w:styleId="FootnoteTextChar">
    <w:name w:val="Footnote Text Char"/>
    <w:basedOn w:val="DefaultParagraphFont"/>
    <w:link w:val="FootnoteText"/>
    <w:uiPriority w:val="99"/>
    <w:semiHidden/>
    <w:rsid w:val="00191C07"/>
    <w:rPr>
      <w:rFonts w:ascii="Tahoma" w:eastAsia="Times New Roman" w:hAnsi="Tahoma" w:cs="Times New Roman"/>
      <w:sz w:val="16"/>
      <w:szCs w:val="20"/>
    </w:rPr>
  </w:style>
  <w:style w:type="paragraph" w:customStyle="1" w:styleId="H1">
    <w:name w:val="H1"/>
    <w:basedOn w:val="Normal"/>
    <w:uiPriority w:val="99"/>
    <w:rsid w:val="00284548"/>
    <w:pPr>
      <w:keepNext/>
      <w:spacing w:before="380" w:after="120" w:line="240" w:lineRule="auto"/>
    </w:pPr>
    <w:rPr>
      <w:rFonts w:ascii="Tahoma" w:eastAsia="Times New Roman" w:hAnsi="Tahoma" w:cs="Tahoma"/>
      <w:b/>
      <w:color w:val="45AED1"/>
      <w:sz w:val="24"/>
      <w:szCs w:val="24"/>
    </w:rPr>
  </w:style>
  <w:style w:type="paragraph" w:customStyle="1" w:styleId="H2">
    <w:name w:val="H2"/>
    <w:basedOn w:val="Normal"/>
    <w:uiPriority w:val="99"/>
    <w:rsid w:val="00284548"/>
    <w:pPr>
      <w:keepNext/>
      <w:spacing w:before="130" w:after="80" w:line="240" w:lineRule="auto"/>
    </w:pPr>
    <w:rPr>
      <w:rFonts w:ascii="Tahoma" w:eastAsia="Times New Roman" w:hAnsi="Tahoma" w:cs="Tahoma"/>
      <w:b/>
      <w:szCs w:val="19"/>
    </w:rPr>
  </w:style>
  <w:style w:type="paragraph" w:customStyle="1" w:styleId="H1Table">
    <w:name w:val="H1 Table"/>
    <w:basedOn w:val="Normal"/>
    <w:uiPriority w:val="99"/>
    <w:rsid w:val="00284548"/>
    <w:pPr>
      <w:keepNext/>
      <w:framePr w:vSpace="288" w:wrap="around" w:vAnchor="text" w:hAnchor="margin" w:y="402"/>
      <w:spacing w:after="0" w:line="240" w:lineRule="auto"/>
      <w:suppressOverlap/>
    </w:pPr>
    <w:rPr>
      <w:rFonts w:ascii="Tahoma" w:eastAsia="MS PGothic" w:hAnsi="Tahoma" w:cs="Times New Roman"/>
      <w:b/>
      <w:sz w:val="24"/>
      <w:szCs w:val="24"/>
    </w:rPr>
  </w:style>
  <w:style w:type="paragraph" w:customStyle="1" w:styleId="H2Table">
    <w:name w:val="H2 Table"/>
    <w:basedOn w:val="Normal"/>
    <w:uiPriority w:val="99"/>
    <w:rsid w:val="00284548"/>
    <w:pPr>
      <w:framePr w:vSpace="288" w:wrap="around" w:vAnchor="text" w:hAnchor="margin" w:y="402"/>
      <w:spacing w:after="0" w:line="240" w:lineRule="auto"/>
      <w:suppressOverlap/>
    </w:pPr>
    <w:rPr>
      <w:rFonts w:ascii="Tahoma" w:eastAsia="MS PGothic" w:hAnsi="Tahoma" w:cs="Times New Roman"/>
      <w:b/>
      <w:sz w:val="18"/>
      <w:szCs w:val="18"/>
    </w:rPr>
  </w:style>
  <w:style w:type="paragraph" w:customStyle="1" w:styleId="H3">
    <w:name w:val="H3"/>
    <w:uiPriority w:val="99"/>
    <w:rsid w:val="00284548"/>
    <w:pPr>
      <w:keepNext/>
      <w:spacing w:before="120" w:after="90" w:line="240" w:lineRule="auto"/>
    </w:pPr>
    <w:rPr>
      <w:rFonts w:ascii="Tahoma" w:eastAsia="Times New Roman" w:hAnsi="Tahoma" w:cs="Tahoma"/>
      <w:b/>
      <w:i/>
      <w:sz w:val="19"/>
      <w:szCs w:val="19"/>
    </w:rPr>
  </w:style>
  <w:style w:type="paragraph" w:customStyle="1" w:styleId="Text">
    <w:name w:val="Text"/>
    <w:basedOn w:val="Normal"/>
    <w:uiPriority w:val="99"/>
    <w:rsid w:val="00284548"/>
    <w:pPr>
      <w:spacing w:after="120" w:line="280" w:lineRule="exact"/>
    </w:pPr>
    <w:rPr>
      <w:rFonts w:ascii="Tahoma" w:eastAsia="Times New Roman" w:hAnsi="Tahoma" w:cs="Tahoma"/>
      <w:sz w:val="19"/>
      <w:szCs w:val="19"/>
    </w:rPr>
  </w:style>
  <w:style w:type="paragraph" w:customStyle="1" w:styleId="TextBullet">
    <w:name w:val="Text Bullet"/>
    <w:basedOn w:val="Normal"/>
    <w:uiPriority w:val="99"/>
    <w:rsid w:val="00191C07"/>
    <w:pPr>
      <w:numPr>
        <w:numId w:val="5"/>
      </w:numPr>
      <w:spacing w:before="60" w:after="60" w:line="280" w:lineRule="exact"/>
    </w:pPr>
    <w:rPr>
      <w:rFonts w:ascii="Tahoma" w:eastAsia="Times New Roman" w:hAnsi="Tahoma" w:cs="Tahoma"/>
      <w:sz w:val="18"/>
      <w:szCs w:val="19"/>
    </w:rPr>
  </w:style>
  <w:style w:type="paragraph" w:styleId="TOC1">
    <w:name w:val="toc 1"/>
    <w:basedOn w:val="Normal"/>
    <w:next w:val="Normal"/>
    <w:autoRedefine/>
    <w:uiPriority w:val="39"/>
    <w:rsid w:val="00284548"/>
    <w:pPr>
      <w:tabs>
        <w:tab w:val="right" w:leader="dot" w:pos="9360"/>
      </w:tabs>
      <w:spacing w:after="120" w:line="280" w:lineRule="exact"/>
    </w:pPr>
    <w:rPr>
      <w:rFonts w:ascii="Tahoma" w:eastAsia="Times New Roman" w:hAnsi="Tahoma" w:cs="Times New Roman"/>
      <w:noProof/>
      <w:sz w:val="20"/>
    </w:rPr>
  </w:style>
  <w:style w:type="paragraph" w:styleId="TOC2">
    <w:name w:val="toc 2"/>
    <w:basedOn w:val="Normal"/>
    <w:next w:val="Normal"/>
    <w:autoRedefine/>
    <w:uiPriority w:val="39"/>
    <w:rsid w:val="00284548"/>
    <w:pPr>
      <w:tabs>
        <w:tab w:val="right" w:leader="dot" w:pos="9360"/>
      </w:tabs>
      <w:spacing w:after="120" w:line="250" w:lineRule="exact"/>
      <w:ind w:left="245"/>
    </w:pPr>
    <w:rPr>
      <w:rFonts w:ascii="Tahoma" w:eastAsia="Times New Roman" w:hAnsi="Tahoma" w:cs="Tahoma"/>
      <w:noProof/>
      <w:sz w:val="20"/>
      <w:szCs w:val="24"/>
    </w:rPr>
  </w:style>
  <w:style w:type="paragraph" w:customStyle="1" w:styleId="TOCTitle">
    <w:name w:val="TOC Title"/>
    <w:basedOn w:val="Normal"/>
    <w:qFormat/>
    <w:rsid w:val="00284548"/>
    <w:pPr>
      <w:spacing w:after="240" w:line="240" w:lineRule="auto"/>
    </w:pPr>
    <w:rPr>
      <w:rFonts w:ascii="Segoe" w:eastAsia="Times New Roman" w:hAnsi="Segoe" w:cs="Times New Roman"/>
      <w:color w:val="034981"/>
      <w:sz w:val="32"/>
      <w:szCs w:val="24"/>
    </w:rPr>
  </w:style>
  <w:style w:type="paragraph" w:styleId="Header">
    <w:name w:val="header"/>
    <w:basedOn w:val="Normal"/>
    <w:link w:val="HeaderChar"/>
    <w:uiPriority w:val="99"/>
    <w:semiHidden/>
    <w:unhideWhenUsed/>
    <w:rsid w:val="00E34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79B"/>
  </w:style>
  <w:style w:type="paragraph" w:customStyle="1" w:styleId="HeaderText">
    <w:name w:val="Header Text"/>
    <w:basedOn w:val="Normal"/>
    <w:uiPriority w:val="99"/>
    <w:rsid w:val="00E3479B"/>
    <w:pPr>
      <w:spacing w:after="0" w:line="240" w:lineRule="auto"/>
      <w:jc w:val="right"/>
    </w:pPr>
    <w:rPr>
      <w:rFonts w:ascii="Segoe" w:eastAsia="Times New Roman" w:hAnsi="Segoe" w:cs="Segoe-Italic"/>
      <w:i/>
      <w:iCs/>
      <w:sz w:val="18"/>
      <w:szCs w:val="19"/>
    </w:rPr>
  </w:style>
  <w:style w:type="paragraph" w:customStyle="1" w:styleId="CoverDate">
    <w:name w:val="Cover Date"/>
    <w:basedOn w:val="Normal"/>
    <w:qFormat/>
    <w:rsid w:val="00284548"/>
    <w:pPr>
      <w:spacing w:after="0" w:line="240" w:lineRule="auto"/>
    </w:pPr>
    <w:rPr>
      <w:rFonts w:ascii="Segoe" w:eastAsia="Times New Roman" w:hAnsi="Segoe" w:cs="Times New Roman"/>
      <w:sz w:val="24"/>
      <w:szCs w:val="24"/>
    </w:rPr>
  </w:style>
  <w:style w:type="paragraph" w:customStyle="1" w:styleId="CoverH1">
    <w:name w:val="Cover H1"/>
    <w:basedOn w:val="Normal"/>
    <w:uiPriority w:val="99"/>
    <w:rsid w:val="00284548"/>
    <w:pPr>
      <w:spacing w:before="576" w:after="0" w:line="720" w:lineRule="exact"/>
    </w:pPr>
    <w:rPr>
      <w:rFonts w:ascii="Segoe" w:eastAsia="Times New Roman" w:hAnsi="Segoe" w:cs="Times New Roman"/>
      <w:color w:val="034981"/>
      <w:spacing w:val="-20"/>
      <w:sz w:val="68"/>
      <w:szCs w:val="24"/>
    </w:rPr>
  </w:style>
  <w:style w:type="paragraph" w:customStyle="1" w:styleId="CoverH2">
    <w:name w:val="Cover H2"/>
    <w:basedOn w:val="Normal"/>
    <w:uiPriority w:val="99"/>
    <w:rsid w:val="00284548"/>
    <w:pPr>
      <w:spacing w:before="60" w:after="0" w:line="330" w:lineRule="exact"/>
    </w:pPr>
    <w:rPr>
      <w:rFonts w:ascii="Segoe" w:eastAsia="Times New Roman" w:hAnsi="Segoe" w:cs="Segoe UI"/>
      <w:i/>
      <w:sz w:val="28"/>
      <w:szCs w:val="24"/>
    </w:rPr>
  </w:style>
  <w:style w:type="paragraph" w:customStyle="1" w:styleId="SidebarH1">
    <w:name w:val="Sidebar H1"/>
    <w:basedOn w:val="Normal"/>
    <w:uiPriority w:val="99"/>
    <w:rsid w:val="00284548"/>
    <w:pPr>
      <w:framePr w:hSpace="187" w:wrap="around" w:vAnchor="text" w:hAnchor="page" w:x="1570" w:y="268"/>
      <w:spacing w:line="300" w:lineRule="exact"/>
      <w:ind w:left="274"/>
      <w:suppressOverlap/>
    </w:pPr>
    <w:rPr>
      <w:rFonts w:ascii="Tahoma" w:eastAsia="Times New Roman" w:hAnsi="Tahoma" w:cs="Tahoma"/>
      <w:b/>
      <w:iCs/>
      <w:color w:val="404040"/>
    </w:rPr>
  </w:style>
  <w:style w:type="paragraph" w:customStyle="1" w:styleId="SidebarText">
    <w:name w:val="Sidebar Text"/>
    <w:basedOn w:val="Normal"/>
    <w:uiPriority w:val="99"/>
    <w:rsid w:val="00284548"/>
    <w:pPr>
      <w:framePr w:hSpace="187" w:wrap="around" w:vAnchor="text" w:hAnchor="page" w:x="1570" w:y="268"/>
      <w:spacing w:after="60" w:line="240" w:lineRule="exact"/>
      <w:ind w:left="274"/>
      <w:suppressOverlap/>
    </w:pPr>
    <w:rPr>
      <w:rFonts w:ascii="Tahoma" w:eastAsia="Times New Roman" w:hAnsi="Tahoma" w:cs="Tahoma"/>
      <w:sz w:val="18"/>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80A1CC56AAF449B48872B8BAF03511" ma:contentTypeVersion="0" ma:contentTypeDescription="Create a new document." ma:contentTypeScope="" ma:versionID="a868627aed807437696a828b055498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27E9E7-ACA5-4F79-9E80-90653001F188}">
  <ds:schemaRefs>
    <ds:schemaRef ds:uri="http://schemas.microsoft.com/sharepoint/v3/contenttype/forms"/>
  </ds:schemaRefs>
</ds:datastoreItem>
</file>

<file path=customXml/itemProps2.xml><?xml version="1.0" encoding="utf-8"?>
<ds:datastoreItem xmlns:ds="http://schemas.openxmlformats.org/officeDocument/2006/customXml" ds:itemID="{796B3369-1C66-4137-BE07-E9FDCCBEA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DF7AAD-C47C-4AA8-A047-DD9689530DA8}">
  <ds:schemaRefs>
    <ds:schemaRef ds:uri="http://schemas.openxmlformats.org/officeDocument/2006/bibliography"/>
  </ds:schemaRefs>
</ds:datastoreItem>
</file>

<file path=customXml/itemProps4.xml><?xml version="1.0" encoding="utf-8"?>
<ds:datastoreItem xmlns:ds="http://schemas.openxmlformats.org/officeDocument/2006/customXml" ds:itemID="{3D58451D-9075-43F7-A12B-B67AFE27C7C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 Fenske</dc:creator>
  <cp:lastModifiedBy>Javier Salido</cp:lastModifiedBy>
  <cp:revision>2</cp:revision>
  <cp:lastPrinted>2008-09-25T19:57:00Z</cp:lastPrinted>
  <dcterms:created xsi:type="dcterms:W3CDTF">2009-03-09T20:04:00Z</dcterms:created>
  <dcterms:modified xsi:type="dcterms:W3CDTF">2009-03-09T20:04:00Z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0x010100A380A1CC56AAF449B48872B8BAF03511</vt:lpwstr>
  </property>
</Properties>
</file>