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0B3818">
        <w:tblPrEx>
          <w:tblCellMar>
            <w:top w:w="0" w:type="dxa"/>
            <w:bottom w:w="0" w:type="dxa"/>
          </w:tblCellMar>
        </w:tblPrEx>
        <w:trPr>
          <w:cantSplit/>
          <w:trHeight w:hRule="exact" w:val="1970"/>
        </w:trPr>
        <w:tc>
          <w:tcPr>
            <w:tcW w:w="3119" w:type="dxa"/>
            <w:vMerge w:val="restart"/>
          </w:tcPr>
          <w:p w:rsidR="000B3818" w:rsidRDefault="000B3818">
            <w:pPr>
              <w:pStyle w:val="SectionHeading"/>
              <w:spacing w:before="100"/>
            </w:pPr>
            <w:bookmarkStart w:id="0" w:name="TableColumn" w:colFirst="1" w:colLast="1"/>
            <w:r>
              <w:t>Overview</w:t>
            </w:r>
          </w:p>
          <w:p w:rsidR="000B3818" w:rsidRDefault="000B3818">
            <w:pPr>
              <w:pStyle w:val="Bodycopy"/>
            </w:pPr>
            <w:r>
              <w:rPr>
                <w:rFonts w:ascii="Franklin Gothic Heavy" w:hAnsi="Franklin Gothic Heavy"/>
              </w:rPr>
              <w:t>Country or Region:</w:t>
            </w:r>
            <w:r>
              <w:t xml:space="preserve"> </w:t>
            </w:r>
            <w:smartTag w:uri="urn:schemas-microsoft-com:office:smarttags" w:element="place">
              <w:r>
                <w:t>Asia</w:t>
              </w:r>
            </w:smartTag>
          </w:p>
          <w:p w:rsidR="000B3818" w:rsidRDefault="000B3818">
            <w:pPr>
              <w:pStyle w:val="Bodycopy"/>
            </w:pPr>
            <w:r>
              <w:rPr>
                <w:rFonts w:ascii="Franklin Gothic Heavy" w:hAnsi="Franklin Gothic Heavy"/>
              </w:rPr>
              <w:t>Industry:</w:t>
            </w:r>
            <w:r>
              <w:t xml:space="preserve"> </w:t>
            </w:r>
            <w:bookmarkStart w:id="1" w:name="OverviewIndustry"/>
            <w:r>
              <w:t>Media</w:t>
            </w:r>
            <w:bookmarkEnd w:id="1"/>
            <w:r>
              <w:t xml:space="preserve"> and entertainment</w:t>
            </w:r>
          </w:p>
          <w:p w:rsidR="000B3818" w:rsidRDefault="000B3818">
            <w:pPr>
              <w:pStyle w:val="Bodycopy"/>
            </w:pPr>
          </w:p>
          <w:p w:rsidR="000B3818" w:rsidRDefault="000B3818">
            <w:pPr>
              <w:pStyle w:val="Bodycopyheading"/>
            </w:pPr>
            <w:r>
              <w:t>Customer Profile</w:t>
            </w:r>
          </w:p>
          <w:p w:rsidR="000B3818" w:rsidRDefault="000B3818">
            <w:pPr>
              <w:pStyle w:val="Bodycopy"/>
            </w:pPr>
            <w:bookmarkStart w:id="2" w:name="OverviewCustomerProfile"/>
            <w:r>
              <w:t xml:space="preserve">World Sport Group (WSG) is the leading sports marketing and media business in </w:t>
            </w:r>
            <w:smartTag w:uri="urn:schemas-microsoft-com:office:smarttags" w:element="place">
              <w:r>
                <w:t>Asia</w:t>
              </w:r>
            </w:smartTag>
            <w:r>
              <w:t xml:space="preserve">. The company has been at the forefront of sports development in </w:t>
            </w:r>
            <w:smartTag w:uri="urn:schemas-microsoft-com:office:smarttags" w:element="place">
              <w:r>
                <w:t>Asia</w:t>
              </w:r>
            </w:smartTag>
            <w:r>
              <w:t xml:space="preserve"> since 1993.</w:t>
            </w:r>
            <w:bookmarkEnd w:id="2"/>
          </w:p>
          <w:p w:rsidR="000B3818" w:rsidRDefault="000B3818">
            <w:pPr>
              <w:pStyle w:val="Bodycopy"/>
            </w:pPr>
          </w:p>
          <w:p w:rsidR="000B3818" w:rsidRDefault="000B3818">
            <w:pPr>
              <w:pStyle w:val="Bodycopyheading"/>
            </w:pPr>
            <w:r>
              <w:t>Business Situation</w:t>
            </w:r>
          </w:p>
          <w:p w:rsidR="000B3818" w:rsidRPr="00A0744B" w:rsidRDefault="000B3818">
            <w:pPr>
              <w:pStyle w:val="Bodycopy"/>
            </w:pPr>
            <w:bookmarkStart w:id="3" w:name="OverviewBusinessSituation"/>
            <w:r>
              <w:t xml:space="preserve">The company’s IT procurement policy has always stressed license compliance. However, a new amendment to the </w:t>
            </w:r>
            <w:smartTag w:uri="urn:schemas-microsoft-com:office:smarttags" w:element="place">
              <w:smartTag w:uri="urn:schemas-microsoft-com:office:smarttags" w:element="country-region">
                <w:r>
                  <w:t>Singapore</w:t>
                </w:r>
              </w:smartTag>
            </w:smartTag>
            <w:r>
              <w:t xml:space="preserve"> Copyright Act gave the company further impetu</w:t>
            </w:r>
            <w:bookmarkEnd w:id="3"/>
            <w:r w:rsidRPr="00A0744B">
              <w:t xml:space="preserve">s to </w:t>
            </w:r>
            <w:r>
              <w:t xml:space="preserve">review and expand its existing policies and make sure it was in </w:t>
            </w:r>
            <w:r w:rsidRPr="00A0744B">
              <w:t>full compliance.</w:t>
            </w:r>
          </w:p>
          <w:p w:rsidR="000B3818" w:rsidRDefault="000B3818">
            <w:pPr>
              <w:pStyle w:val="Bodycopy"/>
            </w:pPr>
          </w:p>
          <w:p w:rsidR="000B3818" w:rsidRDefault="000B3818">
            <w:pPr>
              <w:pStyle w:val="Bodycopyheading"/>
            </w:pPr>
            <w:r>
              <w:t>Solution</w:t>
            </w:r>
          </w:p>
          <w:p w:rsidR="000B3818" w:rsidRDefault="000B3818">
            <w:pPr>
              <w:pStyle w:val="Bodycopy"/>
            </w:pPr>
            <w:bookmarkStart w:id="4" w:name="OverviewSolution"/>
            <w:r>
              <w:t>The Microsoft</w:t>
            </w:r>
            <w:r w:rsidRPr="0053330F">
              <w:rPr>
                <w:sz w:val="12"/>
                <w:szCs w:val="12"/>
              </w:rPr>
              <w:t>®</w:t>
            </w:r>
            <w:r>
              <w:t xml:space="preserve"> LicenseCare program appointed LicenseCare consultant TecBiz FRisMan to conduct a license inventory covering more than 60 computers, including five servers.</w:t>
            </w:r>
            <w:bookmarkEnd w:id="4"/>
          </w:p>
          <w:p w:rsidR="000B3818" w:rsidRDefault="000B3818">
            <w:pPr>
              <w:pStyle w:val="Bodycopy"/>
            </w:pPr>
          </w:p>
          <w:p w:rsidR="000B3818" w:rsidRDefault="000B3818">
            <w:pPr>
              <w:pStyle w:val="Bodycopyheading"/>
            </w:pPr>
            <w:r>
              <w:t>Benefits</w:t>
            </w:r>
          </w:p>
          <w:p w:rsidR="000B3818" w:rsidRDefault="000B3818">
            <w:pPr>
              <w:pStyle w:val="Bullet"/>
            </w:pPr>
            <w:bookmarkStart w:id="5" w:name="OverviewBenefits"/>
            <w:r w:rsidRPr="0053330F">
              <w:t xml:space="preserve">Peace of </w:t>
            </w:r>
            <w:r>
              <w:t>m</w:t>
            </w:r>
            <w:r w:rsidRPr="0053330F">
              <w:t xml:space="preserve">ind </w:t>
            </w:r>
          </w:p>
          <w:p w:rsidR="000B3818" w:rsidRDefault="000B3818">
            <w:pPr>
              <w:pStyle w:val="Bullet"/>
            </w:pPr>
            <w:r w:rsidRPr="0053330F">
              <w:t xml:space="preserve">Simple, </w:t>
            </w:r>
            <w:r>
              <w:t>ongoing SAM m</w:t>
            </w:r>
            <w:r w:rsidRPr="0053330F">
              <w:t>ethodology</w:t>
            </w:r>
          </w:p>
          <w:p w:rsidR="000B3818" w:rsidRDefault="000B3818">
            <w:pPr>
              <w:pStyle w:val="Bullet"/>
            </w:pPr>
            <w:r w:rsidRPr="0053330F">
              <w:t>Cost-</w:t>
            </w:r>
            <w:r>
              <w:t>e</w:t>
            </w:r>
            <w:r w:rsidRPr="0053330F">
              <w:t xml:space="preserve">ffective </w:t>
            </w:r>
            <w:r>
              <w:t>a</w:t>
            </w:r>
            <w:r w:rsidRPr="0053330F">
              <w:t xml:space="preserve">llocation of </w:t>
            </w:r>
            <w:r>
              <w:t>l</w:t>
            </w:r>
            <w:r w:rsidRPr="0053330F">
              <w:t>icenses</w:t>
            </w:r>
          </w:p>
          <w:bookmarkEnd w:id="5"/>
          <w:p w:rsidR="000B3818" w:rsidRDefault="000B3818">
            <w:pPr>
              <w:pStyle w:val="Bullet"/>
              <w:numPr>
                <w:ilvl w:val="0"/>
                <w:numId w:val="0"/>
              </w:numPr>
            </w:pPr>
          </w:p>
        </w:tc>
        <w:tc>
          <w:tcPr>
            <w:tcW w:w="284" w:type="dxa"/>
            <w:tcBorders>
              <w:left w:val="nil"/>
              <w:right w:val="single" w:sz="8" w:space="0" w:color="0099FF"/>
            </w:tcBorders>
            <w:shd w:val="clear" w:color="auto" w:fill="auto"/>
          </w:tcPr>
          <w:p w:rsidR="000B3818" w:rsidRDefault="000B3818"/>
        </w:tc>
        <w:tc>
          <w:tcPr>
            <w:tcW w:w="284" w:type="dxa"/>
            <w:tcBorders>
              <w:left w:val="single" w:sz="8" w:space="0" w:color="0099FF"/>
            </w:tcBorders>
          </w:tcPr>
          <w:p w:rsidR="000B3818" w:rsidRDefault="000B3818"/>
        </w:tc>
        <w:tc>
          <w:tcPr>
            <w:tcW w:w="6861" w:type="dxa"/>
          </w:tcPr>
          <w:p w:rsidR="000B3818" w:rsidRDefault="000B3818">
            <w:pPr>
              <w:pStyle w:val="Pullquote"/>
            </w:pPr>
            <w:bookmarkStart w:id="6" w:name="DocumentIntroduction"/>
            <w:r>
              <w:t>“It was important for us to ensure that our organization was consistently applying IT policies and procedures to safeguard our business assets. To be license compliant has put our worried minds at eas</w:t>
            </w:r>
            <w:bookmarkEnd w:id="6"/>
            <w:r>
              <w:t>e.”</w:t>
            </w:r>
          </w:p>
          <w:p w:rsidR="000B3818" w:rsidRDefault="000B3818">
            <w:pPr>
              <w:pStyle w:val="PullQuotecredit"/>
            </w:pPr>
            <w:bookmarkStart w:id="7" w:name="DocumentIntroductionCredit"/>
            <w:r>
              <w:t>Andrew J Morriss, Chief Financial Officer, World Sport Group</w:t>
            </w:r>
            <w:bookmarkEnd w:id="7"/>
          </w:p>
          <w:p w:rsidR="000B3818" w:rsidRDefault="000B3818">
            <w:pPr>
              <w:spacing w:after="80"/>
              <w:jc w:val="right"/>
              <w:rPr>
                <w:color w:val="FF9900"/>
              </w:rPr>
            </w:pPr>
          </w:p>
        </w:tc>
      </w:tr>
      <w:tr w:rsidR="000B3818">
        <w:tblPrEx>
          <w:tblCellMar>
            <w:top w:w="0" w:type="dxa"/>
            <w:bottom w:w="0" w:type="dxa"/>
          </w:tblCellMar>
        </w:tblPrEx>
        <w:trPr>
          <w:cantSplit/>
          <w:trHeight w:hRule="exact" w:val="6300"/>
        </w:trPr>
        <w:tc>
          <w:tcPr>
            <w:tcW w:w="3119" w:type="dxa"/>
            <w:vMerge/>
          </w:tcPr>
          <w:p w:rsidR="000B3818" w:rsidRDefault="000B3818">
            <w:pPr>
              <w:pStyle w:val="Bodycopy"/>
            </w:pPr>
          </w:p>
        </w:tc>
        <w:tc>
          <w:tcPr>
            <w:tcW w:w="284" w:type="dxa"/>
            <w:tcBorders>
              <w:left w:val="nil"/>
              <w:right w:val="single" w:sz="8" w:space="0" w:color="0099FF"/>
            </w:tcBorders>
            <w:shd w:val="clear" w:color="auto" w:fill="auto"/>
          </w:tcPr>
          <w:p w:rsidR="000B3818" w:rsidRDefault="000B3818">
            <w:pPr>
              <w:pStyle w:val="Bodycopy"/>
            </w:pPr>
          </w:p>
        </w:tc>
        <w:tc>
          <w:tcPr>
            <w:tcW w:w="284" w:type="dxa"/>
            <w:tcBorders>
              <w:left w:val="single" w:sz="8" w:space="0" w:color="0099FF"/>
            </w:tcBorders>
          </w:tcPr>
          <w:p w:rsidR="000B3818" w:rsidRDefault="000B3818">
            <w:pPr>
              <w:pStyle w:val="Bodycopy"/>
            </w:pPr>
          </w:p>
        </w:tc>
        <w:tc>
          <w:tcPr>
            <w:tcW w:w="6861" w:type="dxa"/>
          </w:tcPr>
          <w:p w:rsidR="000B3818" w:rsidRDefault="000B3818">
            <w:pPr>
              <w:pStyle w:val="StandFirstIntroduction"/>
            </w:pPr>
            <w:bookmarkStart w:id="8" w:name="DocumentFirstPageBody"/>
            <w:r>
              <w:t xml:space="preserve">Since 1993, World Sport Group (WSG) has been the leading sports marketing and media firm in </w:t>
            </w:r>
            <w:smartTag w:uri="urn:schemas-microsoft-com:office:smarttags" w:element="place">
              <w:r>
                <w:t>Asia</w:t>
              </w:r>
            </w:smartTag>
            <w:r>
              <w:t>. Run by individuals with a passion for sports development, WSG has been hugely successful in promoting Asian sports to a global audience. Compliance has always been a key part of the company’s procurement policy. With further expansion planned and an increased headcount expected in the year ahead, WSG decided to conduct a formal verification of its inventory to ensure full compliance of its existing software assets. The company enrolled in the Microsoft</w:t>
            </w:r>
            <w:r w:rsidRPr="0053330F">
              <w:rPr>
                <w:sz w:val="12"/>
                <w:szCs w:val="12"/>
              </w:rPr>
              <w:t>®</w:t>
            </w:r>
            <w:r>
              <w:t xml:space="preserve"> LicenseCare program, and TecBiz FRisMan (TecBiz) was appointed to perform an on-site assessment. The review took one day, and WSG was relieved to discover that the company was mostly compliant, with some redundant licenses. With only minimal effort, the company has since made </w:t>
            </w:r>
            <w:bookmarkEnd w:id="8"/>
            <w:r w:rsidRPr="0018126E">
              <w:t>certain that all its licenses match the installed software.</w:t>
            </w:r>
          </w:p>
        </w:tc>
      </w:tr>
      <w:tr w:rsidR="000B3818">
        <w:tblPrEx>
          <w:tblCellMar>
            <w:top w:w="0" w:type="dxa"/>
            <w:bottom w:w="0" w:type="dxa"/>
          </w:tblCellMar>
        </w:tblPrEx>
        <w:trPr>
          <w:cantSplit/>
          <w:trHeight w:hRule="exact" w:val="180"/>
        </w:trPr>
        <w:tc>
          <w:tcPr>
            <w:tcW w:w="3119" w:type="dxa"/>
          </w:tcPr>
          <w:p w:rsidR="000B3818" w:rsidRDefault="000B3818"/>
        </w:tc>
        <w:tc>
          <w:tcPr>
            <w:tcW w:w="284" w:type="dxa"/>
            <w:tcBorders>
              <w:left w:val="nil"/>
              <w:right w:val="single" w:sz="8" w:space="0" w:color="0099FF"/>
            </w:tcBorders>
            <w:shd w:val="clear" w:color="auto" w:fill="auto"/>
          </w:tcPr>
          <w:p w:rsidR="000B3818" w:rsidRDefault="000B3818"/>
        </w:tc>
        <w:tc>
          <w:tcPr>
            <w:tcW w:w="284" w:type="dxa"/>
            <w:tcBorders>
              <w:left w:val="single" w:sz="8" w:space="0" w:color="0099FF"/>
            </w:tcBorders>
          </w:tcPr>
          <w:p w:rsidR="000B3818" w:rsidRDefault="000B3818"/>
        </w:tc>
        <w:tc>
          <w:tcPr>
            <w:tcW w:w="6861" w:type="dxa"/>
          </w:tcPr>
          <w:p w:rsidR="000B3818" w:rsidRDefault="000B3818">
            <w:pPr>
              <w:spacing w:after="80"/>
              <w:jc w:val="right"/>
              <w:rPr>
                <w:color w:val="FF9900"/>
              </w:rPr>
            </w:pPr>
          </w:p>
        </w:tc>
      </w:tr>
      <w:tr w:rsidR="000B3818">
        <w:tblPrEx>
          <w:tblCellMar>
            <w:top w:w="0" w:type="dxa"/>
            <w:bottom w:w="0" w:type="dxa"/>
          </w:tblCellMar>
        </w:tblPrEx>
        <w:trPr>
          <w:cantSplit/>
          <w:trHeight w:val="1740"/>
        </w:trPr>
        <w:tc>
          <w:tcPr>
            <w:tcW w:w="3119" w:type="dxa"/>
            <w:vMerge w:val="restart"/>
            <w:vAlign w:val="bottom"/>
          </w:tcPr>
          <w:p w:rsidR="000B3818" w:rsidRDefault="00971E17">
            <w:r>
              <w:rPr>
                <w:noProof/>
                <w:lang w:val="en-US"/>
              </w:rPr>
              <w:drawing>
                <wp:inline distT="0" distB="0" distL="0" distR="0">
                  <wp:extent cx="1447800" cy="342900"/>
                  <wp:effectExtent l="19050" t="0" r="0" b="0"/>
                  <wp:docPr id="1" name="Picture 1" descr="TecBi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Biz Logo"/>
                          <pic:cNvPicPr>
                            <a:picLocks noChangeAspect="1" noChangeArrowheads="1"/>
                          </pic:cNvPicPr>
                        </pic:nvPicPr>
                        <pic:blipFill>
                          <a:blip r:embed="rId8"/>
                          <a:srcRect/>
                          <a:stretch>
                            <a:fillRect/>
                          </a:stretch>
                        </pic:blipFill>
                        <pic:spPr bwMode="auto">
                          <a:xfrm>
                            <a:off x="0" y="0"/>
                            <a:ext cx="1447800" cy="342900"/>
                          </a:xfrm>
                          <a:prstGeom prst="rect">
                            <a:avLst/>
                          </a:prstGeom>
                          <a:noFill/>
                          <a:ln w="9525">
                            <a:noFill/>
                            <a:miter lim="800000"/>
                            <a:headEnd/>
                            <a:tailEnd/>
                          </a:ln>
                        </pic:spPr>
                      </pic:pic>
                    </a:graphicData>
                  </a:graphic>
                </wp:inline>
              </w:drawing>
            </w:r>
          </w:p>
        </w:tc>
        <w:tc>
          <w:tcPr>
            <w:tcW w:w="284" w:type="dxa"/>
            <w:tcBorders>
              <w:left w:val="nil"/>
              <w:right w:val="single" w:sz="8" w:space="0" w:color="0099FF"/>
            </w:tcBorders>
            <w:shd w:val="clear" w:color="auto" w:fill="auto"/>
          </w:tcPr>
          <w:p w:rsidR="000B3818" w:rsidRDefault="000B3818"/>
        </w:tc>
        <w:tc>
          <w:tcPr>
            <w:tcW w:w="284" w:type="dxa"/>
            <w:vMerge w:val="restart"/>
            <w:tcBorders>
              <w:left w:val="single" w:sz="8" w:space="0" w:color="0099FF"/>
            </w:tcBorders>
          </w:tcPr>
          <w:p w:rsidR="000B3818" w:rsidRDefault="000B3818"/>
        </w:tc>
        <w:tc>
          <w:tcPr>
            <w:tcW w:w="6861" w:type="dxa"/>
            <w:vMerge w:val="restart"/>
            <w:vAlign w:val="bottom"/>
          </w:tcPr>
          <w:p w:rsidR="000B3818" w:rsidRDefault="00971E17">
            <w:pPr>
              <w:jc w:val="right"/>
              <w:rPr>
                <w:color w:val="FF9900"/>
              </w:rPr>
            </w:pPr>
            <w:bookmarkStart w:id="9" w:name="ProductLogo"/>
            <w:r>
              <w:rPr>
                <w:noProof/>
                <w:color w:val="FF9900"/>
                <w:lang w:val="en-US"/>
              </w:rPr>
              <w:drawing>
                <wp:inline distT="0" distB="0" distL="0" distR="0">
                  <wp:extent cx="1981200" cy="914400"/>
                  <wp:effectExtent l="19050" t="0" r="0" b="0"/>
                  <wp:docPr id="2" name="Picture 2" descr="CEPFiles_logo_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PFiles_logo_Microsoft"/>
                          <pic:cNvPicPr>
                            <a:picLocks noChangeAspect="1" noChangeArrowheads="1"/>
                          </pic:cNvPicPr>
                        </pic:nvPicPr>
                        <pic:blipFill>
                          <a:blip r:embed="rId9" cstate="print"/>
                          <a:srcRect/>
                          <a:stretch>
                            <a:fillRect/>
                          </a:stretch>
                        </pic:blipFill>
                        <pic:spPr bwMode="auto">
                          <a:xfrm>
                            <a:off x="0" y="0"/>
                            <a:ext cx="1981200" cy="914400"/>
                          </a:xfrm>
                          <a:prstGeom prst="rect">
                            <a:avLst/>
                          </a:prstGeom>
                          <a:noFill/>
                          <a:ln w="9525">
                            <a:noFill/>
                            <a:miter lim="800000"/>
                            <a:headEnd/>
                            <a:tailEnd/>
                          </a:ln>
                        </pic:spPr>
                      </pic:pic>
                    </a:graphicData>
                  </a:graphic>
                </wp:inline>
              </w:drawing>
            </w:r>
            <w:bookmarkEnd w:id="9"/>
          </w:p>
        </w:tc>
      </w:tr>
      <w:bookmarkEnd w:id="0"/>
      <w:tr w:rsidR="000B3818">
        <w:tblPrEx>
          <w:tblCellMar>
            <w:top w:w="0" w:type="dxa"/>
            <w:bottom w:w="0" w:type="dxa"/>
          </w:tblCellMar>
        </w:tblPrEx>
        <w:trPr>
          <w:cantSplit/>
          <w:trHeight w:val="80"/>
        </w:trPr>
        <w:tc>
          <w:tcPr>
            <w:tcW w:w="3119" w:type="dxa"/>
            <w:vMerge/>
            <w:vAlign w:val="bottom"/>
          </w:tcPr>
          <w:p w:rsidR="000B3818" w:rsidRDefault="000B3818"/>
        </w:tc>
        <w:tc>
          <w:tcPr>
            <w:tcW w:w="284" w:type="dxa"/>
            <w:tcBorders>
              <w:left w:val="nil"/>
            </w:tcBorders>
          </w:tcPr>
          <w:p w:rsidR="000B3818" w:rsidRDefault="000B3818">
            <w:pPr>
              <w:rPr>
                <w:sz w:val="12"/>
              </w:rPr>
            </w:pPr>
          </w:p>
        </w:tc>
        <w:tc>
          <w:tcPr>
            <w:tcW w:w="284" w:type="dxa"/>
            <w:vMerge/>
            <w:tcBorders>
              <w:left w:val="nil"/>
            </w:tcBorders>
          </w:tcPr>
          <w:p w:rsidR="000B3818" w:rsidRDefault="000B3818"/>
        </w:tc>
        <w:tc>
          <w:tcPr>
            <w:tcW w:w="6861" w:type="dxa"/>
            <w:vMerge/>
            <w:vAlign w:val="bottom"/>
          </w:tcPr>
          <w:p w:rsidR="000B3818" w:rsidRDefault="000B3818">
            <w:pPr>
              <w:jc w:val="right"/>
              <w:rPr>
                <w:color w:val="FF9900"/>
              </w:rPr>
            </w:pPr>
          </w:p>
        </w:tc>
      </w:tr>
    </w:tbl>
    <w:p w:rsidR="000B3818" w:rsidRDefault="000B3818">
      <w:pPr>
        <w:rPr>
          <w:sz w:val="2"/>
        </w:rPr>
      </w:pPr>
    </w:p>
    <w:p w:rsidR="000B3818" w:rsidRDefault="000B3818">
      <w:pPr>
        <w:rPr>
          <w:sz w:val="2"/>
        </w:rPr>
        <w:sectPr w:rsidR="000B3818">
          <w:headerReference w:type="default" r:id="rId10"/>
          <w:pgSz w:w="12242" w:h="15842" w:code="1"/>
          <w:pgMar w:top="3600" w:right="851" w:bottom="200" w:left="851" w:header="0" w:footer="300" w:gutter="0"/>
          <w:cols w:space="227"/>
          <w:docGrid w:linePitch="360"/>
        </w:sectPr>
      </w:pPr>
    </w:p>
    <w:p w:rsidR="000B3818" w:rsidRDefault="000B3818">
      <w:pPr>
        <w:pStyle w:val="SectionHeading"/>
      </w:pPr>
      <w:r>
        <w:rPr>
          <w:noProof/>
          <w:sz w:val="20"/>
        </w:rPr>
        <w:lastRenderedPageBreak/>
        <w:pict>
          <v:shapetype id="_x0000_t202" coordsize="21600,21600" o:spt="202" path="m,l,21600r21600,l21600,xe">
            <v:stroke joinstyle="miter"/>
            <v:path gradientshapeok="t" o:connecttype="rect"/>
          </v:shapetype>
          <v:shape id="_x0000_s1029" type="#_x0000_t202" style="position:absolute;margin-left:42.55pt;margin-top:333.35pt;width:155.9pt;height:218.65pt;z-index:251659264;mso-position-horizontal-relative:page;mso-position-vertical-relative:page" stroked="f">
            <v:textbox style="mso-next-textbox:#_x0000_s1029"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33"/>
                  </w:tblGrid>
                  <w:tr w:rsidR="000B3818">
                    <w:tblPrEx>
                      <w:tblCellMar>
                        <w:top w:w="0" w:type="dxa"/>
                        <w:bottom w:w="0" w:type="dxa"/>
                      </w:tblCellMar>
                    </w:tblPrEx>
                    <w:trPr>
                      <w:trHeight w:val="3966"/>
                    </w:trPr>
                    <w:tc>
                      <w:tcPr>
                        <w:tcW w:w="3133" w:type="dxa"/>
                        <w:tcBorders>
                          <w:top w:val="nil"/>
                          <w:left w:val="nil"/>
                          <w:bottom w:val="nil"/>
                          <w:right w:val="nil"/>
                        </w:tcBorders>
                        <w:vAlign w:val="center"/>
                      </w:tcPr>
                      <w:p w:rsidR="000B3818" w:rsidRDefault="000B3818">
                        <w:pPr>
                          <w:pStyle w:val="Pullquote"/>
                        </w:pPr>
                        <w:r>
                          <w:t xml:space="preserve">“Compliance is much too important to risk our company’s reputation on. We run our business by that reputation, and our clients depend on us to deliver on it. We can’t afford the hiccups that come with not having the right licenses.” </w:t>
                        </w:r>
                      </w:p>
                      <w:p w:rsidR="000B3818" w:rsidRDefault="000B3818">
                        <w:pPr>
                          <w:pStyle w:val="PullQuotecredit"/>
                        </w:pPr>
                        <w:r>
                          <w:t>Andrew Moriss, Chief Financial Officer, World Sport Group</w:t>
                        </w:r>
                      </w:p>
                      <w:p w:rsidR="000B3818" w:rsidRDefault="000B3818">
                        <w:pPr>
                          <w:pStyle w:val="PullQuotecredit"/>
                        </w:pPr>
                      </w:p>
                    </w:tc>
                  </w:tr>
                </w:tbl>
                <w:p w:rsidR="000B3818" w:rsidRDefault="000B3818">
                  <w:pPr>
                    <w:pStyle w:val="PullQuotecredit"/>
                  </w:pPr>
                </w:p>
              </w:txbxContent>
            </v:textbox>
            <w10:wrap anchorx="page" anchory="page"/>
            <w10:anchorlock/>
          </v:shape>
        </w:pict>
      </w:r>
      <w:r>
        <w:t>Situation</w:t>
      </w:r>
    </w:p>
    <w:p w:rsidR="000B3818" w:rsidRDefault="000B3818">
      <w:pPr>
        <w:pStyle w:val="Bodycopy"/>
      </w:pPr>
      <w:bookmarkStart w:id="15" w:name="DocumentSituation"/>
      <w:r>
        <w:t xml:space="preserve">World Sport Group (WSG) is dedicated to the development of sports and their related commercial rights in the world’s fastest growing and very dynamic marketplace—Asia. </w:t>
      </w:r>
    </w:p>
    <w:p w:rsidR="000B3818" w:rsidRDefault="000B3818">
      <w:pPr>
        <w:pStyle w:val="Bodycopy"/>
      </w:pPr>
    </w:p>
    <w:p w:rsidR="000B3818" w:rsidRDefault="000B3818">
      <w:pPr>
        <w:pStyle w:val="Bodycopy"/>
      </w:pPr>
      <w:r>
        <w:t>The foundation of the WSG philosophy can be summed up in a simple yet powerful proposition: taking Asian sports to the world.</w:t>
      </w:r>
    </w:p>
    <w:p w:rsidR="000B3818" w:rsidRDefault="000B3818">
      <w:pPr>
        <w:pStyle w:val="Bodycopy"/>
      </w:pPr>
      <w:r>
        <w:t xml:space="preserve">The company has been hugely successful in promoting sporting events, generating incredible levels of interest across the continent with packed stadiums and live television broadcasts. These events have delivered record-breaking numbers of viewers and extensive media coverage. </w:t>
      </w:r>
    </w:p>
    <w:p w:rsidR="000B3818" w:rsidRDefault="000B3818">
      <w:pPr>
        <w:pStyle w:val="Bodycopy"/>
      </w:pPr>
    </w:p>
    <w:p w:rsidR="000B3818" w:rsidRDefault="000B3818">
      <w:pPr>
        <w:pStyle w:val="Bodycopy"/>
      </w:pPr>
      <w:r>
        <w:t xml:space="preserve">The WSG vision for Asian sports is to create winning partnerships by marrying corporate and sporting values in a way that brings lasting benefits to all parties. By understanding the needs and ambitions of both sports and business, WSG provides the solutions that turn opportunity into success. </w:t>
      </w:r>
    </w:p>
    <w:p w:rsidR="000B3818" w:rsidRDefault="000B3818">
      <w:pPr>
        <w:pStyle w:val="Bodycopy"/>
      </w:pPr>
    </w:p>
    <w:p w:rsidR="000B3818" w:rsidRDefault="000B3818">
      <w:pPr>
        <w:pStyle w:val="Bodycopy"/>
      </w:pPr>
      <w:r>
        <w:t xml:space="preserve">Compliance has always been part of the WSG IT procurement policy, and is the combined responsibility of the company’s Finance and IT teams. The two departments have been diligent in maintaining records of the company’s software assets, maintaining compliance by using EZ-Audit software to conduct internal software inventories. However, in 2005, the company was planning to further expand its business and increase the number of client and server computers. But before proceeding with these plans, WSG wanted to formally verity its software inventory to ensure full compliance with existing software licenses. </w:t>
      </w:r>
    </w:p>
    <w:p w:rsidR="000B3818" w:rsidRDefault="000B3818">
      <w:pPr>
        <w:pStyle w:val="Bodycopy"/>
      </w:pPr>
    </w:p>
    <w:p w:rsidR="000B3818" w:rsidRDefault="000B3818">
      <w:pPr>
        <w:pStyle w:val="Bodycopy"/>
      </w:pPr>
      <w:r>
        <w:t xml:space="preserve">“Compliance is much too important to risk our company’s reputation on,” says Andrew </w:t>
      </w:r>
      <w:r>
        <w:lastRenderedPageBreak/>
        <w:t>Morriss, Chief Financial Officer of World Sport Group. “We run our business by that reputation, and our clients depend on us to deliver on it. We can’t afford the hiccups that come with not having the right licenses.”</w:t>
      </w:r>
      <w:bookmarkEnd w:id="15"/>
    </w:p>
    <w:p w:rsidR="000B3818" w:rsidRDefault="000B3818">
      <w:pPr>
        <w:pStyle w:val="Bodycopy"/>
      </w:pPr>
    </w:p>
    <w:p w:rsidR="000B3818" w:rsidRDefault="000B3818">
      <w:pPr>
        <w:pStyle w:val="SectionHeading"/>
      </w:pPr>
      <w:r>
        <w:t>Solution</w:t>
      </w:r>
    </w:p>
    <w:p w:rsidR="000B3818" w:rsidRDefault="000B3818">
      <w:pPr>
        <w:pStyle w:val="Bodycopy"/>
      </w:pPr>
      <w:bookmarkStart w:id="16" w:name="DocumentSolution"/>
      <w:r>
        <w:t>As a first step toward more robust Software Asset Management (SAM), WSG chose to participate in the Microsoft</w:t>
      </w:r>
      <w:r w:rsidRPr="0053330F">
        <w:rPr>
          <w:sz w:val="12"/>
          <w:szCs w:val="12"/>
        </w:rPr>
        <w:t>®</w:t>
      </w:r>
      <w:r>
        <w:t xml:space="preserve"> LicenseCare program, which offers on-site assessment of an organization’s compliance status. Through the program, Microsoft works with customers to help them achieve compliance and avoid complications arising from using unlicensed or underlicensed software. The program also introduces corporate customers to the practice and benefits of SAM, including showing companies how they can better manage software purchases and potentially cut costs.</w:t>
      </w:r>
    </w:p>
    <w:p w:rsidR="000B3818" w:rsidRDefault="000B3818">
      <w:pPr>
        <w:pStyle w:val="Bodycopy"/>
      </w:pPr>
    </w:p>
    <w:p w:rsidR="000B3818" w:rsidRDefault="000B3818">
      <w:pPr>
        <w:pStyle w:val="Bodycopy"/>
      </w:pPr>
      <w:r>
        <w:t xml:space="preserve">Next, WSG contacted TecBiz, a Microsoft partner with expertise in SAM, to conduct the on-site assessment. </w:t>
      </w:r>
      <w:r w:rsidRPr="001215AF">
        <w:t xml:space="preserve">Headquartered in </w:t>
      </w:r>
      <w:smartTag w:uri="urn:schemas-microsoft-com:office:smarttags" w:element="country-region">
        <w:r w:rsidRPr="001215AF">
          <w:t>Singapore</w:t>
        </w:r>
      </w:smartTag>
      <w:r w:rsidRPr="001215AF">
        <w:t xml:space="preserve"> with additional offices in </w:t>
      </w:r>
      <w:smartTag w:uri="urn:schemas-microsoft-com:office:smarttags" w:element="country-region">
        <w:r w:rsidRPr="001215AF">
          <w:t>Malaysia</w:t>
        </w:r>
      </w:smartTag>
      <w:r w:rsidRPr="001215AF">
        <w:t xml:space="preserve">, </w:t>
      </w:r>
      <w:smartTag w:uri="urn:schemas-microsoft-com:office:smarttags" w:element="country-region">
        <w:r w:rsidRPr="001215AF">
          <w:t>Thailand</w:t>
        </w:r>
      </w:smartTag>
      <w:r w:rsidRPr="001215AF">
        <w:t xml:space="preserve">, and </w:t>
      </w:r>
      <w:smartTag w:uri="urn:schemas-microsoft-com:office:smarttags" w:element="country-region">
        <w:r w:rsidRPr="001215AF">
          <w:t>Taiwan</w:t>
        </w:r>
      </w:smartTag>
      <w:r w:rsidRPr="001215AF">
        <w:t xml:space="preserve">, TecBiz is a leading provider of SAM consulting services in </w:t>
      </w:r>
      <w:smartTag w:uri="urn:schemas-microsoft-com:office:smarttags" w:element="place">
        <w:r w:rsidRPr="001215AF">
          <w:t>Southeast Asia</w:t>
        </w:r>
      </w:smartTag>
      <w:r w:rsidRPr="001215AF">
        <w:t>. The company's methodology and tools help customers manage their IT assets more effectively. As a result, the customers have increased visibility into these assets, can allocate them more efficiently, and gain assurance of software license compliance.</w:t>
      </w:r>
    </w:p>
    <w:p w:rsidR="000B3818" w:rsidRDefault="000B3818">
      <w:pPr>
        <w:pStyle w:val="Bodycopy"/>
      </w:pPr>
    </w:p>
    <w:p w:rsidR="000B3818" w:rsidRDefault="000B3818">
      <w:pPr>
        <w:pStyle w:val="Bodycopy"/>
      </w:pPr>
      <w:r>
        <w:t>The TecBiz SAM methodology includes the following four phases:</w:t>
      </w:r>
    </w:p>
    <w:p w:rsidR="000B3818" w:rsidRDefault="000B3818">
      <w:pPr>
        <w:pStyle w:val="Bodycopy"/>
      </w:pPr>
    </w:p>
    <w:p w:rsidR="000B3818" w:rsidRDefault="000B3818">
      <w:pPr>
        <w:pStyle w:val="Bullet"/>
      </w:pPr>
      <w:r>
        <w:t>Inventory management</w:t>
      </w:r>
    </w:p>
    <w:p w:rsidR="000B3818" w:rsidRDefault="000B3818">
      <w:pPr>
        <w:pStyle w:val="Bullet"/>
      </w:pPr>
      <w:r>
        <w:t>Installation management</w:t>
      </w:r>
    </w:p>
    <w:p w:rsidR="000B3818" w:rsidRDefault="000B3818">
      <w:pPr>
        <w:pStyle w:val="Bullet"/>
      </w:pPr>
      <w:r>
        <w:t>Reconciliation analysis</w:t>
      </w:r>
    </w:p>
    <w:p w:rsidR="000B3818" w:rsidRPr="001215AF" w:rsidRDefault="000B3818">
      <w:pPr>
        <w:pStyle w:val="Bullet"/>
      </w:pPr>
      <w:r>
        <w:t>Compliance attainment</w:t>
      </w:r>
    </w:p>
    <w:p w:rsidR="000B3818" w:rsidRDefault="000B3818">
      <w:pPr>
        <w:pStyle w:val="Bodycopy"/>
      </w:pPr>
    </w:p>
    <w:p w:rsidR="000B3818" w:rsidRDefault="000B3818">
      <w:pPr>
        <w:pStyle w:val="Bodycopy"/>
      </w:pPr>
      <w:r>
        <w:t>In June 2006, two TecBiz consultants were sent to WSG to conduct an inventory and assess the company’s licensing situation. Specifically, TecBiz documented all registered licenses and then carefully inspected all software installed on WSG client and server computers. The installation counts of each version of every software product were tallied and compared to the licenses recorded. This process required only one day.</w:t>
      </w:r>
    </w:p>
    <w:p w:rsidR="000B3818" w:rsidRDefault="000B3818">
      <w:pPr>
        <w:pStyle w:val="Bodycopy"/>
      </w:pPr>
    </w:p>
    <w:p w:rsidR="000B3818" w:rsidRDefault="000B3818">
      <w:pPr>
        <w:pStyle w:val="Bodycopy"/>
      </w:pPr>
      <w:r>
        <w:t xml:space="preserve">After the on-site assessment, the TecBiz consultants informed WSG that they were mostly compliant. The remaining unmatched installations and registrations were discussed with IT administrator and resolved quickly. </w:t>
      </w:r>
    </w:p>
    <w:p w:rsidR="000B3818" w:rsidRDefault="000B3818">
      <w:pPr>
        <w:pStyle w:val="Bodycopy"/>
      </w:pPr>
    </w:p>
    <w:p w:rsidR="000B3818" w:rsidRDefault="000B3818">
      <w:pPr>
        <w:pStyle w:val="Bodycopy"/>
      </w:pPr>
      <w:r>
        <w:t xml:space="preserve">Additionally, TecBiz shared with WSG employees </w:t>
      </w:r>
      <w:r w:rsidRPr="00E43B57">
        <w:t xml:space="preserve">the </w:t>
      </w:r>
      <w:r>
        <w:t xml:space="preserve">TecBiz </w:t>
      </w:r>
      <w:r w:rsidRPr="00E43B57">
        <w:t>systematic method</w:t>
      </w:r>
      <w:r>
        <w:t>ology</w:t>
      </w:r>
      <w:r w:rsidRPr="00E43B57">
        <w:t xml:space="preserve"> </w:t>
      </w:r>
      <w:r>
        <w:t>of</w:t>
      </w:r>
      <w:r w:rsidRPr="00E43B57">
        <w:t xml:space="preserve"> organiz</w:t>
      </w:r>
      <w:r>
        <w:t>ing</w:t>
      </w:r>
      <w:r w:rsidRPr="00E43B57">
        <w:t xml:space="preserve"> physical licenses and </w:t>
      </w:r>
      <w:r>
        <w:t xml:space="preserve">the </w:t>
      </w:r>
      <w:r w:rsidRPr="00E43B57">
        <w:t>reconciliation of licenses owned against usage</w:t>
      </w:r>
      <w:r>
        <w:t xml:space="preserve">. WSG chose to implement this methodology, in addition to continuing to use E-Z Audit software, to keep its licenses up to date and remain compliant on an ongoing basis. </w:t>
      </w:r>
    </w:p>
    <w:p w:rsidR="000B3818" w:rsidRDefault="000B3818">
      <w:pPr>
        <w:pStyle w:val="Bodycopy"/>
      </w:pPr>
    </w:p>
    <w:p w:rsidR="000B3818" w:rsidRDefault="000B3818">
      <w:pPr>
        <w:pStyle w:val="SectionHeading"/>
      </w:pPr>
      <w:r>
        <w:t>Benefits</w:t>
      </w:r>
    </w:p>
    <w:p w:rsidR="000B3818" w:rsidRDefault="000B3818">
      <w:pPr>
        <w:pStyle w:val="Bodycopy"/>
      </w:pPr>
      <w:r>
        <w:t>Having completed a thorough software inventory, WSG gains peace of mind, knowing that it is in full compliance with licensing agreements. And the new SAM program includes a simple methodology and easily repeatable steps to maintain that compliance. SAM also helps WSG allocate its licenses more cost-effectively.</w:t>
      </w:r>
    </w:p>
    <w:p w:rsidR="000B3818" w:rsidRDefault="000B3818">
      <w:pPr>
        <w:pStyle w:val="Bodycopy"/>
      </w:pPr>
    </w:p>
    <w:p w:rsidR="000B3818" w:rsidRDefault="000B3818">
      <w:pPr>
        <w:pStyle w:val="Bodycopyheading"/>
      </w:pPr>
      <w:r>
        <w:t xml:space="preserve">Peace of Mind </w:t>
      </w:r>
    </w:p>
    <w:p w:rsidR="000B3818" w:rsidRDefault="000B3818">
      <w:pPr>
        <w:pStyle w:val="Bodycopy"/>
      </w:pPr>
      <w:r>
        <w:t xml:space="preserve">WSG takes managing its software assets very seriously, particularly in the area of reconciling licenses with software deployment. “We want to ensure full license </w:t>
      </w:r>
      <w:r>
        <w:lastRenderedPageBreak/>
        <w:t>compliance,” says Morriss. “It is important that our organization consistently apply IT policies and procedures to safeguard our business assets.”</w:t>
      </w:r>
    </w:p>
    <w:p w:rsidR="000B3818" w:rsidRDefault="000B3818">
      <w:pPr>
        <w:pStyle w:val="Bodycopy"/>
      </w:pPr>
    </w:p>
    <w:p w:rsidR="000B3818" w:rsidRDefault="000B3818">
      <w:pPr>
        <w:pStyle w:val="Bodycopy"/>
      </w:pPr>
      <w:r>
        <w:t xml:space="preserve">Part of the peace-of-mind benefit is related to the laws of </w:t>
      </w:r>
      <w:smartTag w:uri="urn:schemas-microsoft-com:office:smarttags" w:element="country-region">
        <w:smartTag w:uri="urn:schemas-microsoft-com:office:smarttags" w:element="place">
          <w:r>
            <w:t>Singapore</w:t>
          </w:r>
        </w:smartTag>
      </w:smartTag>
      <w:r>
        <w:t xml:space="preserve">. Given the company’s reputation for management excellence, WSG was especially determined to fully adhere to </w:t>
      </w:r>
      <w:smartTag w:uri="urn:schemas-microsoft-com:office:smarttags" w:element="country-region">
        <w:smartTag w:uri="urn:schemas-microsoft-com:office:smarttags" w:element="place">
          <w:r>
            <w:t>Singapore</w:t>
          </w:r>
        </w:smartTag>
      </w:smartTag>
      <w:r>
        <w:t>’s Copyright Act. “The new amendment to the Copyright Act prompted us to amplify the company’s SAM policies and gave further impetus for us to achieve full compliance,” Morriss adds. “We had previously attempted an internal audit through the use of EZ-Audit, but we were worried that we may still be underlicensed in some areas. The new SAM program has resolved that issue. Being license-compliant has put our worried minds at ease.”</w:t>
      </w:r>
    </w:p>
    <w:p w:rsidR="000B3818" w:rsidRDefault="000B3818">
      <w:pPr>
        <w:pStyle w:val="Bodycopy"/>
      </w:pPr>
    </w:p>
    <w:p w:rsidR="000B3818" w:rsidRDefault="000B3818">
      <w:pPr>
        <w:pStyle w:val="Bodycopyheading"/>
      </w:pPr>
      <w:r>
        <w:t>Simple, Ongoing SAM Methodology</w:t>
      </w:r>
    </w:p>
    <w:p w:rsidR="000B3818" w:rsidRDefault="000B3818">
      <w:pPr>
        <w:pStyle w:val="Bodycopy"/>
      </w:pPr>
      <w:r>
        <w:t>The initial SAM inventory was simple and thorough, and Mr. Morriss and his IT staff were able to tap into TecBiz expertise to learn compliance techniques. The TecBiz methodology augments the company’s existing procedures and works with its current SAM software, E-Z Audit, so that no additional SAM products have to be purchased. As a result, WSG has a simple, cost-effective SAM program that will help ensure full compliance in the future.</w:t>
      </w:r>
    </w:p>
    <w:p w:rsidR="000B3818" w:rsidRDefault="000B3818">
      <w:pPr>
        <w:pStyle w:val="Bodycopy"/>
      </w:pPr>
    </w:p>
    <w:p w:rsidR="000B3818" w:rsidRDefault="000B3818">
      <w:pPr>
        <w:pStyle w:val="Bodycopyheading"/>
      </w:pPr>
      <w:r>
        <w:t>Cost-Effective Allocation of Licenses</w:t>
      </w:r>
    </w:p>
    <w:p w:rsidR="000B3818" w:rsidRDefault="000B3818">
      <w:pPr>
        <w:pStyle w:val="Bodycopy"/>
      </w:pPr>
      <w:r>
        <w:t xml:space="preserve">The inventory that WSG conducted identified an excess of licenses for Microsoft Office 2000 editions. The TecBiz consultants offered professional advice on how WSG could optimize the use of all licenses without compromising with the law. By reallocating valuable licenses, WSG can manage its software assets more cost-effectively. “There </w:t>
      </w:r>
      <w:r>
        <w:lastRenderedPageBreak/>
        <w:t xml:space="preserve">were some surprises during our inventory,” says Morriss. “For instance, we had over-purchased Microsoft Office 2000 and realized that we had unused licenses in our Hong Kong office, so we transferred the unused licenses to the </w:t>
      </w:r>
      <w:smartTag w:uri="urn:schemas-microsoft-com:office:smarttags" w:element="place">
        <w:smartTag w:uri="urn:schemas-microsoft-com:office:smarttags" w:element="country-region">
          <w:r>
            <w:t>Singapore</w:t>
          </w:r>
        </w:smartTag>
      </w:smartTag>
      <w:r>
        <w:t xml:space="preserve"> office.” As a result, the </w:t>
      </w:r>
      <w:smartTag w:uri="urn:schemas-microsoft-com:office:smarttags" w:element="country-region">
        <w:r>
          <w:t>Singapore</w:t>
        </w:r>
      </w:smartTag>
      <w:r>
        <w:t xml:space="preserve"> office saved an estimated </w:t>
      </w:r>
      <w:r w:rsidRPr="00630A08">
        <w:t xml:space="preserve">10,000 </w:t>
      </w:r>
      <w:smartTag w:uri="urn:schemas-microsoft-com:office:smarttags" w:element="place">
        <w:smartTag w:uri="urn:schemas-microsoft-com:office:smarttags" w:element="country-region">
          <w:r w:rsidRPr="00630A08">
            <w:t>Singapore</w:t>
          </w:r>
        </w:smartTag>
      </w:smartTag>
      <w:r w:rsidRPr="00630A08">
        <w:t xml:space="preserve"> </w:t>
      </w:r>
      <w:r>
        <w:t>d</w:t>
      </w:r>
      <w:r w:rsidRPr="00630A08">
        <w:t>ollar</w:t>
      </w:r>
      <w:r>
        <w:t xml:space="preserve">s (U.S.$6,500) by avoiding additional license purchases. </w:t>
      </w:r>
    </w:p>
    <w:p w:rsidR="000B3818" w:rsidRDefault="000B3818">
      <w:pPr>
        <w:pStyle w:val="Bodycopy"/>
      </w:pPr>
    </w:p>
    <w:p w:rsidR="000B3818" w:rsidRDefault="000B3818">
      <w:pPr>
        <w:pStyle w:val="Bodycopy"/>
      </w:pPr>
      <w:r>
        <w:t>WSG is pleased with its SAM program and the assistance that TecBiz has provided. “We have a good working relationship with TecBiz, and the company saved us time and money by providing its expertise and by giving us an auditable report on our compliance. Overall, we were satisfied with the findings.”</w:t>
      </w:r>
      <w:bookmarkEnd w:id="16"/>
    </w:p>
    <w:p w:rsidR="000B3818" w:rsidRDefault="000B3818">
      <w:pPr>
        <w:pStyle w:val="Bodycopy"/>
      </w:pPr>
      <w:bookmarkStart w:id="17" w:name="DocumentBenefits"/>
    </w:p>
    <w:bookmarkEnd w:id="17"/>
    <w:p w:rsidR="000B3818" w:rsidRDefault="000B3818">
      <w:pPr>
        <w:pStyle w:val="SectionHeading"/>
      </w:pPr>
      <w:r>
        <w:br w:type="column"/>
      </w:r>
      <w:bookmarkStart w:id="18" w:name="ProductBoilerplateTitle"/>
      <w:r>
        <w:rPr>
          <w:noProof/>
          <w:sz w:val="20"/>
        </w:rPr>
        <w:lastRenderedPageBreak/>
        <w:pict>
          <v:shape id="_x0000_s1028" type="#_x0000_t202" style="position:absolute;margin-left:225pt;margin-top:636pt;width:348.3pt;height:66pt;z-index:251658240;mso-position-horizontal-relative:page;mso-position-vertical-relative:page" fillcolor="#ccc" stroked="f">
            <v:textbox style="mso-next-textbox:#_x0000_s1028" inset="0,0,0,0">
              <w:txbxContent>
                <w:tbl>
                  <w:tblPr>
                    <w:tblW w:w="0" w:type="auto"/>
                    <w:tblInd w:w="156" w:type="dxa"/>
                    <w:tblCellMar>
                      <w:left w:w="0" w:type="dxa"/>
                      <w:right w:w="120" w:type="dxa"/>
                    </w:tblCellMar>
                    <w:tblLook w:val="0000"/>
                  </w:tblPr>
                  <w:tblGrid>
                    <w:gridCol w:w="3302"/>
                    <w:gridCol w:w="3390"/>
                  </w:tblGrid>
                  <w:tr w:rsidR="000B3818">
                    <w:tblPrEx>
                      <w:tblCellMar>
                        <w:top w:w="0" w:type="dxa"/>
                        <w:bottom w:w="0" w:type="dxa"/>
                      </w:tblCellMar>
                    </w:tblPrEx>
                    <w:trPr>
                      <w:cantSplit/>
                      <w:trHeight w:hRule="exact" w:val="170"/>
                    </w:trPr>
                    <w:tc>
                      <w:tcPr>
                        <w:tcW w:w="6692" w:type="dxa"/>
                        <w:gridSpan w:val="2"/>
                      </w:tcPr>
                      <w:p w:rsidR="000B3818" w:rsidRDefault="000B3818">
                        <w:pPr>
                          <w:pStyle w:val="SectionHeadingGrey"/>
                        </w:pPr>
                        <w:bookmarkStart w:id="19" w:name="Softwareandservicestable"/>
                        <w:bookmarkEnd w:id="19"/>
                      </w:p>
                    </w:tc>
                  </w:tr>
                  <w:tr w:rsidR="000B3818">
                    <w:tblPrEx>
                      <w:tblCellMar>
                        <w:top w:w="0" w:type="dxa"/>
                        <w:bottom w:w="0" w:type="dxa"/>
                      </w:tblCellMar>
                    </w:tblPrEx>
                    <w:trPr>
                      <w:trHeight w:val="3846"/>
                    </w:trPr>
                    <w:tc>
                      <w:tcPr>
                        <w:tcW w:w="3302" w:type="dxa"/>
                      </w:tcPr>
                      <w:p w:rsidR="000B3818" w:rsidRDefault="000B3818">
                        <w:pPr>
                          <w:pStyle w:val="SectionHeadingGrey"/>
                        </w:pPr>
                        <w:bookmarkStart w:id="20" w:name="SoftwareandServices1"/>
                        <w:bookmarkEnd w:id="20"/>
                        <w:r>
                          <w:t>Software and Services</w:t>
                        </w:r>
                      </w:p>
                      <w:p w:rsidR="000B3818" w:rsidRDefault="000B3818">
                        <w:pPr>
                          <w:pStyle w:val="BulletGrey"/>
                        </w:pPr>
                        <w:r>
                          <w:t>Microsoft Office System</w:t>
                        </w:r>
                      </w:p>
                      <w:p w:rsidR="000B3818" w:rsidRDefault="000B3818">
                        <w:pPr>
                          <w:pStyle w:val="BulletLevel2"/>
                        </w:pPr>
                        <w:r>
                          <w:t>Microsoft Office 2000</w:t>
                        </w:r>
                      </w:p>
                      <w:p w:rsidR="000B3818" w:rsidRDefault="000B3818">
                        <w:pPr>
                          <w:pStyle w:val="BulletGrey"/>
                        </w:pPr>
                        <w:r>
                          <w:t>E-Z Audit</w:t>
                        </w:r>
                      </w:p>
                    </w:tc>
                    <w:tc>
                      <w:tcPr>
                        <w:tcW w:w="3390" w:type="dxa"/>
                      </w:tcPr>
                      <w:p w:rsidR="000B3818" w:rsidRDefault="000B3818">
                        <w:pPr>
                          <w:pStyle w:val="SectionHeadingGrey"/>
                        </w:pPr>
                        <w:bookmarkStart w:id="21" w:name="SoftwareandServices2"/>
                        <w:bookmarkEnd w:id="21"/>
                        <w:r>
                          <w:t>Partners</w:t>
                        </w:r>
                      </w:p>
                      <w:p w:rsidR="000B3818" w:rsidRDefault="000B3818">
                        <w:pPr>
                          <w:pStyle w:val="BulletGrey"/>
                        </w:pPr>
                        <w:r>
                          <w:t>TecBiz FRisMan</w:t>
                        </w:r>
                      </w:p>
                    </w:tc>
                  </w:tr>
                </w:tbl>
                <w:p w:rsidR="000B3818" w:rsidRDefault="000B3818">
                  <w:pPr>
                    <w:pStyle w:val="Bodycopy"/>
                    <w:rPr>
                      <w:lang w:val="sv-SE"/>
                    </w:rPr>
                  </w:pPr>
                </w:p>
              </w:txbxContent>
            </v:textbox>
            <w10:wrap type="square" anchorx="page" anchory="page"/>
            <w10:anchorlock/>
          </v:shape>
        </w:pict>
      </w:r>
      <w:r>
        <w:rPr>
          <w:noProof/>
          <w:sz w:val="20"/>
        </w:rPr>
        <w:pict>
          <v:shape id="DisclaimerBox" o:spid="_x0000_s1027" type="#_x0000_t202" style="position:absolute;margin-left:43.7pt;margin-top:650pt;width:172.3pt;height:109.55pt;z-index:251657216;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0B3818">
                    <w:tblPrEx>
                      <w:tblCellMar>
                        <w:top w:w="0" w:type="dxa"/>
                        <w:bottom w:w="0" w:type="dxa"/>
                      </w:tblCellMar>
                    </w:tblPrEx>
                    <w:trPr>
                      <w:trHeight w:val="2114"/>
                    </w:trPr>
                    <w:tc>
                      <w:tcPr>
                        <w:tcW w:w="3200" w:type="dxa"/>
                        <w:tcBorders>
                          <w:top w:val="nil"/>
                          <w:left w:val="nil"/>
                          <w:bottom w:val="nil"/>
                          <w:right w:val="nil"/>
                        </w:tcBorders>
                        <w:vAlign w:val="bottom"/>
                      </w:tcPr>
                      <w:p w:rsidR="000B3818" w:rsidRDefault="000B3818">
                        <w:pPr>
                          <w:pStyle w:val="Disclaimer"/>
                        </w:pPr>
                        <w:bookmarkStart w:id="22" w:name="Disclaimer"/>
                        <w:r>
                          <w:rPr>
                            <w:szCs w:val="11"/>
                          </w:rPr>
                          <w:t xml:space="preserve">This case study is for informational purposes only. MICROSOFT MAKES NO WARRANTIES, EXPRESS OR IMPLIED, IN THIS SUMMARY.  </w:t>
                        </w:r>
                        <w:bookmarkEnd w:id="22"/>
                      </w:p>
                      <w:p w:rsidR="000B3818" w:rsidRDefault="000B3818">
                        <w:pPr>
                          <w:pStyle w:val="Disclaimer"/>
                          <w:rPr>
                            <w:szCs w:val="11"/>
                          </w:rPr>
                        </w:pPr>
                      </w:p>
                      <w:p w:rsidR="000B3818" w:rsidRDefault="000B3818">
                        <w:pPr>
                          <w:pStyle w:val="Disclaimer"/>
                        </w:pPr>
                        <w:r>
                          <w:rPr>
                            <w:szCs w:val="11"/>
                          </w:rPr>
                          <w:t xml:space="preserve">Document published </w:t>
                        </w:r>
                        <w:bookmarkStart w:id="23" w:name="DocumentPublished"/>
                        <w:r>
                          <w:rPr>
                            <w:szCs w:val="11"/>
                          </w:rPr>
                          <w:t>February 2007</w:t>
                        </w:r>
                        <w:bookmarkEnd w:id="23"/>
                      </w:p>
                    </w:tc>
                    <w:tc>
                      <w:tcPr>
                        <w:tcW w:w="280" w:type="dxa"/>
                        <w:tcBorders>
                          <w:top w:val="nil"/>
                          <w:left w:val="nil"/>
                          <w:bottom w:val="nil"/>
                          <w:right w:val="single" w:sz="8" w:space="0" w:color="0099FF"/>
                        </w:tcBorders>
                        <w:shd w:val="clear" w:color="auto" w:fill="auto"/>
                        <w:vAlign w:val="bottom"/>
                      </w:tcPr>
                      <w:p w:rsidR="000B3818" w:rsidRDefault="000B3818">
                        <w:pPr>
                          <w:pStyle w:val="Disclaimer"/>
                        </w:pPr>
                      </w:p>
                    </w:tc>
                  </w:tr>
                </w:tbl>
                <w:p w:rsidR="000B3818" w:rsidRDefault="000B3818">
                  <w:pPr>
                    <w:pStyle w:val="Disclaimer"/>
                  </w:pPr>
                </w:p>
              </w:txbxContent>
            </v:textbox>
            <w10:wrap anchorx="page" anchory="page"/>
            <w10:anchorlock/>
          </v:shape>
        </w:pict>
      </w:r>
      <w:r>
        <w:rPr>
          <w:noProof/>
          <w:sz w:val="20"/>
        </w:rPr>
        <w:pict>
          <v:shape id="_x0000_s1026" type="#_x0000_t202" style="position:absolute;margin-left:42.55pt;margin-top:161.95pt;width:155.9pt;height:484.4pt;z-index:251656192;mso-position-horizontal-relative:page;mso-position-vertical-relative:page" stroked="f">
            <v:textbox style="mso-next-textbox:#_x0000_s1026" inset="0,0,0,0">
              <w:txbxContent>
                <w:p w:rsidR="000B3818" w:rsidRDefault="000B3818">
                  <w:pPr>
                    <w:pStyle w:val="SectionHeading"/>
                  </w:pPr>
                  <w:r>
                    <w:t>For More Information</w:t>
                  </w:r>
                </w:p>
                <w:p w:rsidR="000B3818" w:rsidRDefault="000B3818">
                  <w:pPr>
                    <w:pStyle w:val="Bodycopy"/>
                  </w:pPr>
                  <w:r>
                    <w:t xml:space="preserve">For more information about Microsoft products and services, call the Microsoft Sales Information Center at (800) 426-9400. In </w:t>
                  </w:r>
                  <w:smartTag w:uri="urn:schemas-microsoft-com:office:smarttags" w:element="place">
                    <w:smartTag w:uri="urn:schemas-microsoft-com:office:smarttags" w:element="country-region">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place">
                    <w:smartTag w:uri="urn:schemas-microsoft-com:office:smarttags" w:element="country-region">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Canada</w:t>
                      </w:r>
                    </w:smartTag>
                  </w:smartTag>
                  <w:r>
                    <w:t xml:space="preserve">, please contact your local Microsoft subsidiary. To access information using the World Wide Web, go to: </w:t>
                  </w:r>
                  <w:hyperlink r:id="rId11" w:history="1">
                    <w:r w:rsidRPr="00C146DE">
                      <w:rPr>
                        <w:rStyle w:val="Hyperlink"/>
                      </w:rPr>
                      <w:t>www.microsoft.com</w:t>
                    </w:r>
                  </w:hyperlink>
                  <w:r>
                    <w:t xml:space="preserve"> </w:t>
                  </w:r>
                </w:p>
                <w:p w:rsidR="000B3818" w:rsidRDefault="000B3818">
                  <w:pPr>
                    <w:pStyle w:val="Bodycopy"/>
                  </w:pPr>
                </w:p>
                <w:p w:rsidR="000B3818" w:rsidRDefault="000B3818">
                  <w:pPr>
                    <w:pStyle w:val="Bodycopy"/>
                  </w:pPr>
                  <w:r>
                    <w:t xml:space="preserve">For more information about </w:t>
                  </w:r>
                  <w:bookmarkStart w:id="24" w:name="PartnerName"/>
                  <w:r>
                    <w:t>TecBiz FRisMan</w:t>
                  </w:r>
                  <w:bookmarkEnd w:id="24"/>
                  <w:r>
                    <w:t xml:space="preserve"> products and services, call </w:t>
                  </w:r>
                  <w:bookmarkStart w:id="25" w:name="PartnerPhone"/>
                  <w:r>
                    <w:t>6225-1998</w:t>
                  </w:r>
                  <w:bookmarkEnd w:id="25"/>
                  <w:r>
                    <w:t xml:space="preserve"> or visit the Web site at: </w:t>
                  </w:r>
                  <w:bookmarkStart w:id="26" w:name="PartnerURL"/>
                  <w:r>
                    <w:fldChar w:fldCharType="begin"/>
                  </w:r>
                  <w:r>
                    <w:instrText xml:space="preserve"> HYPERLINK "http://www.tecbizfrisman.com" </w:instrText>
                  </w:r>
                  <w:r>
                    <w:fldChar w:fldCharType="separate"/>
                  </w:r>
                  <w:r w:rsidRPr="00C146DE">
                    <w:rPr>
                      <w:rStyle w:val="Hyperlink"/>
                    </w:rPr>
                    <w:t>www.tecbizfrism</w:t>
                  </w:r>
                  <w:r w:rsidRPr="00C146DE">
                    <w:rPr>
                      <w:rStyle w:val="Hyperlink"/>
                    </w:rPr>
                    <w:t>a</w:t>
                  </w:r>
                  <w:r w:rsidRPr="00C146DE">
                    <w:rPr>
                      <w:rStyle w:val="Hyperlink"/>
                    </w:rPr>
                    <w:t>n.com</w:t>
                  </w:r>
                  <w:bookmarkEnd w:id="26"/>
                  <w:r>
                    <w:fldChar w:fldCharType="end"/>
                  </w:r>
                  <w:r>
                    <w:t xml:space="preserve"> </w:t>
                  </w:r>
                </w:p>
                <w:p w:rsidR="000B3818" w:rsidRDefault="000B3818">
                  <w:pPr>
                    <w:pStyle w:val="Bodycopy"/>
                  </w:pPr>
                </w:p>
                <w:p w:rsidR="000B3818" w:rsidRDefault="000B3818">
                  <w:pPr>
                    <w:pStyle w:val="Bodycopy"/>
                  </w:pPr>
                  <w:r>
                    <w:t xml:space="preserve">For more information about </w:t>
                  </w:r>
                  <w:bookmarkStart w:id="27" w:name="CustomerName"/>
                  <w:r>
                    <w:t>World Sport Group Pte Ltd</w:t>
                  </w:r>
                  <w:bookmarkEnd w:id="27"/>
                  <w:r>
                    <w:t xml:space="preserve"> products and services, call </w:t>
                  </w:r>
                  <w:bookmarkStart w:id="28" w:name="CustomerPhone"/>
                  <w:r>
                    <w:t>6826-2688</w:t>
                  </w:r>
                  <w:bookmarkEnd w:id="28"/>
                  <w:r>
                    <w:t xml:space="preserve"> or visit the Web site at: </w:t>
                  </w:r>
                  <w:bookmarkStart w:id="29" w:name="CustomerURL"/>
                  <w:r>
                    <w:fldChar w:fldCharType="begin"/>
                  </w:r>
                  <w:r>
                    <w:instrText xml:space="preserve"> HYPERLINK "http://www.worldsportgroup.com" </w:instrText>
                  </w:r>
                  <w:r>
                    <w:fldChar w:fldCharType="separate"/>
                  </w:r>
                  <w:r w:rsidRPr="00C146DE">
                    <w:rPr>
                      <w:rStyle w:val="Hyperlink"/>
                    </w:rPr>
                    <w:t>www.worldsportgroup.com</w:t>
                  </w:r>
                  <w:bookmarkEnd w:id="29"/>
                  <w:r>
                    <w:fldChar w:fldCharType="end"/>
                  </w:r>
                  <w:r>
                    <w:t xml:space="preserve"> </w:t>
                  </w:r>
                </w:p>
                <w:p w:rsidR="000B3818" w:rsidRDefault="000B3818">
                  <w:pPr>
                    <w:pStyle w:val="Bodycopy"/>
                  </w:pPr>
                </w:p>
              </w:txbxContent>
            </v:textbox>
            <w10:wrap anchorx="page" anchory="page"/>
            <w10:anchorlock/>
          </v:shape>
        </w:pict>
      </w:r>
      <w:r>
        <w:rPr>
          <w:noProof/>
          <w:sz w:val="20"/>
        </w:rPr>
        <w:t>Microsoft Software Asset Management</w:t>
      </w:r>
      <w:bookmarkEnd w:id="18"/>
    </w:p>
    <w:p w:rsidR="000B3818" w:rsidRDefault="000B3818">
      <w:pPr>
        <w:pStyle w:val="Bodycopy"/>
      </w:pPr>
      <w:bookmarkStart w:id="30" w:name="ProductBoilerplateText"/>
      <w:r>
        <w:t>Software asset management (SAM) is a program to help optimize your technology investment. Software is an asset, and knowing what you have, acquiring only what you need, and establishing current and ongoing policies and procedures to track and maintain software are critical functions of any organization.</w:t>
      </w:r>
    </w:p>
    <w:p w:rsidR="000B3818" w:rsidRDefault="000B3818">
      <w:pPr>
        <w:pStyle w:val="Bodycopy"/>
      </w:pPr>
    </w:p>
    <w:p w:rsidR="000B3818" w:rsidRDefault="000B3818">
      <w:pPr>
        <w:pStyle w:val="Bodycopy"/>
      </w:pPr>
      <w:r>
        <w:t>For additional information, including free tools and resources, visit:</w:t>
      </w:r>
    </w:p>
    <w:p w:rsidR="000B3818" w:rsidRDefault="000B3818">
      <w:pPr>
        <w:pStyle w:val="Bodycopy"/>
      </w:pPr>
      <w:hyperlink r:id="rId12" w:history="1">
        <w:r w:rsidRPr="00C146DE">
          <w:rPr>
            <w:rStyle w:val="Hyperlink"/>
          </w:rPr>
          <w:t>www.microsoft.c</w:t>
        </w:r>
        <w:r w:rsidRPr="00C146DE">
          <w:rPr>
            <w:rStyle w:val="Hyperlink"/>
          </w:rPr>
          <w:t>o</w:t>
        </w:r>
        <w:r w:rsidRPr="00C146DE">
          <w:rPr>
            <w:rStyle w:val="Hyperlink"/>
          </w:rPr>
          <w:t>m/sam</w:t>
        </w:r>
      </w:hyperlink>
      <w:r>
        <w:t xml:space="preserve">  </w:t>
      </w:r>
    </w:p>
    <w:bookmarkEnd w:id="30"/>
    <w:p w:rsidR="000B3818" w:rsidRDefault="000B3818">
      <w:pPr>
        <w:pStyle w:val="Bodycopy"/>
      </w:pPr>
    </w:p>
    <w:sectPr w:rsidR="000B3818">
      <w:headerReference w:type="default" r:id="rId13"/>
      <w:footerReference w:type="default" r:id="rId14"/>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FE1" w:rsidRDefault="000F4FE1">
      <w:r>
        <w:separator/>
      </w:r>
    </w:p>
  </w:endnote>
  <w:endnote w:type="continuationSeparator" w:id="1">
    <w:p w:rsidR="000F4FE1" w:rsidRDefault="000F4FE1">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818" w:rsidRDefault="000B3818">
    <w:pPr>
      <w:pStyle w:val="Footer"/>
      <w:tabs>
        <w:tab w:val="left" w:pos="2760"/>
      </w:tabs>
      <w:jc w:val="right"/>
    </w:pPr>
    <w:r>
      <w:fldChar w:fldCharType="begin"/>
    </w:r>
    <w:r>
      <w:instrText xml:space="preserve"> if </w:instrText>
    </w:r>
    <w:r>
      <w:rPr>
        <w:rStyle w:val="PageNumber"/>
      </w:rPr>
      <w:fldChar w:fldCharType="begin"/>
    </w:r>
    <w:r>
      <w:rPr>
        <w:rStyle w:val="PageNumber"/>
      </w:rPr>
      <w:instrText xml:space="preserve"> PAGE </w:instrText>
    </w:r>
    <w:r>
      <w:rPr>
        <w:rStyle w:val="PageNumber"/>
      </w:rPr>
      <w:fldChar w:fldCharType="separate"/>
    </w:r>
    <w:r w:rsidR="00971E17">
      <w:rPr>
        <w:rStyle w:val="PageNumber"/>
        <w:noProof/>
      </w:rPr>
      <w:instrText>4</w:instrText>
    </w:r>
    <w:r>
      <w:rPr>
        <w:rStyle w:val="PageNumber"/>
      </w:rPr>
      <w:fldChar w:fldCharType="end"/>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971E17">
      <w:rPr>
        <w:rStyle w:val="PageNumber"/>
        <w:noProof/>
      </w:rPr>
      <w:instrText>4</w:instrText>
    </w:r>
    <w:r>
      <w:rPr>
        <w:rStyle w:val="PageNumber"/>
      </w:rPr>
      <w:fldChar w:fldCharType="end"/>
    </w:r>
    <w:r>
      <w:rPr>
        <w:rStyle w:val="PageNumber"/>
      </w:rPr>
      <w:instrText xml:space="preserve"> </w:instrText>
    </w:r>
    <w:r w:rsidR="00971E17">
      <w:rPr>
        <w:noProof/>
        <w:spacing w:val="20"/>
        <w:sz w:val="16"/>
        <w:lang w:val="en-US"/>
      </w:rPr>
      <w:drawing>
        <wp:inline distT="0" distB="0" distL="0" distR="0">
          <wp:extent cx="1981200" cy="914400"/>
          <wp:effectExtent l="19050" t="0" r="0" b="0"/>
          <wp:docPr id="5" name="Picture 5"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Pr>
        <w:rStyle w:val="PageNumber"/>
      </w:rPr>
      <w:instrText xml:space="preserve"> </w:instrText>
    </w:r>
    <w:r>
      <w:instrText xml:space="preserve">"" </w:instrText>
    </w:r>
    <w:r w:rsidR="00383B3E">
      <w:fldChar w:fldCharType="separate"/>
    </w:r>
    <w:r w:rsidR="00971E17">
      <w:rPr>
        <w:noProof/>
        <w:spacing w:val="20"/>
        <w:sz w:val="16"/>
        <w:lang w:val="en-US"/>
      </w:rPr>
      <w:drawing>
        <wp:inline distT="0" distB="0" distL="0" distR="0">
          <wp:extent cx="1981200" cy="914400"/>
          <wp:effectExtent l="19050" t="0" r="0" b="0"/>
          <wp:docPr id="10" name="Picture 10"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FE1" w:rsidRDefault="000F4FE1">
      <w:r>
        <w:separator/>
      </w:r>
    </w:p>
  </w:footnote>
  <w:footnote w:type="continuationSeparator" w:id="1">
    <w:p w:rsidR="000F4FE1" w:rsidRDefault="000F4F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0B3818">
      <w:tblPrEx>
        <w:tblCellMar>
          <w:top w:w="0" w:type="dxa"/>
          <w:bottom w:w="0" w:type="dxa"/>
        </w:tblCellMar>
      </w:tblPrEx>
      <w:trPr>
        <w:cantSplit/>
        <w:trHeight w:hRule="exact" w:val="1155"/>
      </w:trPr>
      <w:tc>
        <w:tcPr>
          <w:tcW w:w="4253" w:type="dxa"/>
          <w:gridSpan w:val="2"/>
          <w:vMerge w:val="restart"/>
        </w:tcPr>
        <w:p w:rsidR="000B3818" w:rsidRDefault="00971E17">
          <w:bookmarkStart w:id="10" w:name="ProductPicture"/>
          <w:r>
            <w:rPr>
              <w:noProof/>
              <w:lang w:val="en-US"/>
            </w:rPr>
            <w:drawing>
              <wp:inline distT="0" distB="0" distL="0" distR="0">
                <wp:extent cx="2695575" cy="1676400"/>
                <wp:effectExtent l="19050" t="0" r="9525" b="0"/>
                <wp:docPr id="3" name="Picture 3" descr="CEPFiles_picture_IM_Men_Women_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Files_picture_IM_Men_Women_Computer"/>
                        <pic:cNvPicPr>
                          <a:picLocks noChangeAspect="1" noChangeArrowheads="1"/>
                        </pic:cNvPicPr>
                      </pic:nvPicPr>
                      <pic:blipFill>
                        <a:blip r:embed="rId1"/>
                        <a:srcRect/>
                        <a:stretch>
                          <a:fillRect/>
                        </a:stretch>
                      </pic:blipFill>
                      <pic:spPr bwMode="auto">
                        <a:xfrm>
                          <a:off x="0" y="0"/>
                          <a:ext cx="2695575" cy="1676400"/>
                        </a:xfrm>
                        <a:prstGeom prst="rect">
                          <a:avLst/>
                        </a:prstGeom>
                        <a:noFill/>
                        <a:ln w="9525">
                          <a:noFill/>
                          <a:miter lim="800000"/>
                          <a:headEnd/>
                          <a:tailEnd/>
                        </a:ln>
                      </pic:spPr>
                    </pic:pic>
                  </a:graphicData>
                </a:graphic>
              </wp:inline>
            </w:drawing>
          </w:r>
          <w:bookmarkEnd w:id="10"/>
        </w:p>
      </w:tc>
      <w:tc>
        <w:tcPr>
          <w:tcW w:w="284" w:type="dxa"/>
          <w:vMerge w:val="restart"/>
        </w:tcPr>
        <w:p w:rsidR="000B3818" w:rsidRDefault="000B3818"/>
      </w:tc>
      <w:tc>
        <w:tcPr>
          <w:tcW w:w="6379" w:type="dxa"/>
        </w:tcPr>
        <w:p w:rsidR="000B3818" w:rsidRDefault="000B3818">
          <w:pPr>
            <w:pStyle w:val="StandFirstIntroduction"/>
          </w:pPr>
        </w:p>
      </w:tc>
    </w:tr>
    <w:tr w:rsidR="000B3818">
      <w:tblPrEx>
        <w:tblCellMar>
          <w:top w:w="0" w:type="dxa"/>
          <w:bottom w:w="0" w:type="dxa"/>
        </w:tblCellMar>
      </w:tblPrEx>
      <w:trPr>
        <w:cantSplit/>
        <w:trHeight w:val="768"/>
      </w:trPr>
      <w:tc>
        <w:tcPr>
          <w:tcW w:w="4253" w:type="dxa"/>
          <w:gridSpan w:val="2"/>
          <w:vMerge/>
        </w:tcPr>
        <w:p w:rsidR="000B3818" w:rsidRDefault="000B3818"/>
      </w:tc>
      <w:tc>
        <w:tcPr>
          <w:tcW w:w="284" w:type="dxa"/>
          <w:vMerge/>
        </w:tcPr>
        <w:p w:rsidR="000B3818" w:rsidRDefault="000B3818"/>
      </w:tc>
      <w:tc>
        <w:tcPr>
          <w:tcW w:w="6379" w:type="dxa"/>
          <w:vAlign w:val="bottom"/>
        </w:tcPr>
        <w:p w:rsidR="000B3818" w:rsidRDefault="000B3818">
          <w:pPr>
            <w:pStyle w:val="Casestudydescription"/>
          </w:pPr>
          <w:bookmarkStart w:id="11" w:name="ProductTitle"/>
          <w:r>
            <w:t>Microsoft Software Asset Management</w:t>
          </w:r>
        </w:p>
        <w:p w:rsidR="000B3818" w:rsidRDefault="000B3818">
          <w:pPr>
            <w:pStyle w:val="Casestudydescription"/>
          </w:pPr>
          <w:r>
            <w:t>Customer Solution Case Study</w:t>
          </w:r>
          <w:bookmarkEnd w:id="11"/>
        </w:p>
      </w:tc>
    </w:tr>
    <w:tr w:rsidR="000B3818">
      <w:tblPrEx>
        <w:tblCellMar>
          <w:top w:w="0" w:type="dxa"/>
          <w:bottom w:w="0" w:type="dxa"/>
        </w:tblCellMar>
      </w:tblPrEx>
      <w:trPr>
        <w:cantSplit/>
        <w:trHeight w:val="1248"/>
      </w:trPr>
      <w:tc>
        <w:tcPr>
          <w:tcW w:w="4253" w:type="dxa"/>
          <w:gridSpan w:val="2"/>
          <w:vMerge/>
        </w:tcPr>
        <w:p w:rsidR="000B3818" w:rsidRDefault="000B3818"/>
      </w:tc>
      <w:tc>
        <w:tcPr>
          <w:tcW w:w="284" w:type="dxa"/>
        </w:tcPr>
        <w:p w:rsidR="000B3818" w:rsidRDefault="000B3818">
          <w:r>
            <w:rPr>
              <w:noProof/>
              <w:sz w:val="20"/>
              <w:lang w:val="en-US"/>
            </w:rPr>
            <w:pict>
              <v:shapetype id="_x0000_t202" coordsize="21600,21600" o:spt="202" path="m,l,21600r21600,l21600,xe">
                <v:stroke joinstyle="miter"/>
                <v:path gradientshapeok="t" o:connecttype="rect"/>
              </v:shapetype>
              <v:shape id="Green501" o:spid="_x0000_s2049" type="#_x0000_t202" style="position:absolute;margin-left:-.55pt;margin-top:11.35pt;width:401pt;height:24.5pt;z-index:-251660800;mso-wrap-edited:f;mso-position-horizontal-relative:page;mso-position-vertical-relative:page" wrapcoords="-92 0 -92 21392 21600 21392 21600 0 -92 0" fillcolor="#09f" stroked="f">
                <v:fill opacity=".5"/>
                <v:textbox style="mso-next-textbox:#Green501" inset="0,0,0,0">
                  <w:txbxContent>
                    <w:p w:rsidR="000B3818" w:rsidRDefault="000B3818"/>
                  </w:txbxContent>
                </v:textbox>
                <w10:anchorlock/>
              </v:shape>
            </w:pict>
          </w:r>
        </w:p>
      </w:tc>
      <w:tc>
        <w:tcPr>
          <w:tcW w:w="6379" w:type="dxa"/>
        </w:tcPr>
        <w:p w:rsidR="000B3818" w:rsidRDefault="000B3818">
          <w:pPr>
            <w:spacing w:after="80"/>
            <w:jc w:val="right"/>
            <w:rPr>
              <w:color w:val="FF9900"/>
            </w:rPr>
          </w:pPr>
        </w:p>
      </w:tc>
    </w:tr>
    <w:tr w:rsidR="000B3818">
      <w:tblPrEx>
        <w:tblCellMar>
          <w:top w:w="0" w:type="dxa"/>
          <w:bottom w:w="0" w:type="dxa"/>
        </w:tblCellMar>
      </w:tblPrEx>
      <w:trPr>
        <w:cantSplit/>
        <w:trHeight w:hRule="exact" w:val="707"/>
      </w:trPr>
      <w:tc>
        <w:tcPr>
          <w:tcW w:w="860" w:type="dxa"/>
          <w:vMerge w:val="restart"/>
        </w:tcPr>
        <w:p w:rsidR="000B3818" w:rsidRDefault="000B3818"/>
      </w:tc>
      <w:tc>
        <w:tcPr>
          <w:tcW w:w="3393" w:type="dxa"/>
          <w:vMerge w:val="restart"/>
        </w:tcPr>
        <w:p w:rsidR="000B3818" w:rsidRDefault="000B3818">
          <w:pPr>
            <w:rPr>
              <w:sz w:val="8"/>
            </w:rPr>
          </w:pPr>
        </w:p>
        <w:p w:rsidR="000B3818" w:rsidRDefault="000B3818"/>
        <w:p w:rsidR="000B3818" w:rsidRDefault="00971E17">
          <w:r>
            <w:rPr>
              <w:noProof/>
              <w:lang w:val="en-US"/>
            </w:rPr>
            <w:drawing>
              <wp:inline distT="0" distB="0" distL="0" distR="0">
                <wp:extent cx="1781175" cy="876300"/>
                <wp:effectExtent l="19050" t="0" r="9525" b="0"/>
                <wp:docPr id="4" name="Picture 4" descr="W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SG"/>
                        <pic:cNvPicPr>
                          <a:picLocks noChangeAspect="1" noChangeArrowheads="1"/>
                        </pic:cNvPicPr>
                      </pic:nvPicPr>
                      <pic:blipFill>
                        <a:blip r:embed="rId2"/>
                        <a:srcRect/>
                        <a:stretch>
                          <a:fillRect/>
                        </a:stretch>
                      </pic:blipFill>
                      <pic:spPr bwMode="auto">
                        <a:xfrm>
                          <a:off x="0" y="0"/>
                          <a:ext cx="1781175" cy="876300"/>
                        </a:xfrm>
                        <a:prstGeom prst="rect">
                          <a:avLst/>
                        </a:prstGeom>
                        <a:noFill/>
                        <a:ln w="9525">
                          <a:noFill/>
                          <a:miter lim="800000"/>
                          <a:headEnd/>
                          <a:tailEnd/>
                        </a:ln>
                      </pic:spPr>
                    </pic:pic>
                  </a:graphicData>
                </a:graphic>
              </wp:inline>
            </w:drawing>
          </w:r>
        </w:p>
      </w:tc>
      <w:tc>
        <w:tcPr>
          <w:tcW w:w="284" w:type="dxa"/>
          <w:tcBorders>
            <w:left w:val="nil"/>
          </w:tcBorders>
        </w:tcPr>
        <w:p w:rsidR="000B3818" w:rsidRDefault="000B3818">
          <w:r>
            <w:rPr>
              <w:noProof/>
              <w:sz w:val="20"/>
              <w:lang w:val="en-US"/>
            </w:rPr>
            <w:pict>
              <v:shape id="GreenFade1" o:spid="_x0000_s2050" type="#_x0000_t202" style="position:absolute;margin-left:-.55pt;margin-top:-158.6pt;width:401.1pt;height:107.75pt;z-index:-251659776;mso-wrap-edited:f;mso-position-horizontal-relative:page;mso-position-vertical-relative:page" wrapcoords="-92 0 -92 21392 21600 21392 21600 0 -92 0" fillcolor="#09f" stroked="f">
                <v:fill color2="fill lighten(0)" angle="-90" method="linear sigma" focus="100%" type="gradient"/>
                <v:textbox style="mso-next-textbox:#GreenFade1" inset="0,0,0,0">
                  <w:txbxContent>
                    <w:p w:rsidR="000B3818" w:rsidRDefault="000B3818"/>
                  </w:txbxContent>
                </v:textbox>
                <w10:anchorlock/>
              </v:shape>
            </w:pict>
          </w:r>
        </w:p>
      </w:tc>
      <w:tc>
        <w:tcPr>
          <w:tcW w:w="6379" w:type="dxa"/>
        </w:tcPr>
        <w:p w:rsidR="000B3818" w:rsidRDefault="000B3818">
          <w:pPr>
            <w:pStyle w:val="DocumentTitle"/>
          </w:pPr>
          <w:bookmarkStart w:id="12" w:name="DocumentTitle"/>
          <w:bookmarkStart w:id="13" w:name="OLE_LINK1"/>
          <w:bookmarkStart w:id="14" w:name="OLE_LINK2"/>
          <w:r>
            <w:t xml:space="preserve">Large Asian Sports Media Firm </w:t>
          </w:r>
          <w:bookmarkEnd w:id="12"/>
          <w:r>
            <w:t>Ensures Full Compliance with Licensing Requirements</w:t>
          </w:r>
          <w:bookmarkEnd w:id="13"/>
          <w:bookmarkEnd w:id="14"/>
        </w:p>
      </w:tc>
    </w:tr>
    <w:tr w:rsidR="000B3818">
      <w:tblPrEx>
        <w:tblCellMar>
          <w:top w:w="0" w:type="dxa"/>
          <w:bottom w:w="0" w:type="dxa"/>
        </w:tblCellMar>
      </w:tblPrEx>
      <w:trPr>
        <w:cantSplit/>
        <w:trHeight w:val="1008"/>
      </w:trPr>
      <w:tc>
        <w:tcPr>
          <w:tcW w:w="860" w:type="dxa"/>
          <w:vMerge/>
        </w:tcPr>
        <w:p w:rsidR="000B3818" w:rsidRDefault="000B3818"/>
      </w:tc>
      <w:tc>
        <w:tcPr>
          <w:tcW w:w="3393" w:type="dxa"/>
          <w:vMerge/>
          <w:tcBorders>
            <w:top w:val="single" w:sz="4" w:space="0" w:color="auto"/>
          </w:tcBorders>
        </w:tcPr>
        <w:p w:rsidR="000B3818" w:rsidRDefault="000B3818"/>
      </w:tc>
      <w:tc>
        <w:tcPr>
          <w:tcW w:w="284" w:type="dxa"/>
          <w:tcBorders>
            <w:left w:val="nil"/>
          </w:tcBorders>
        </w:tcPr>
        <w:p w:rsidR="000B3818" w:rsidRDefault="000B3818">
          <w:pPr>
            <w:rPr>
              <w:noProof/>
              <w:sz w:val="20"/>
              <w:lang w:val="en-US"/>
            </w:rPr>
          </w:pPr>
        </w:p>
      </w:tc>
      <w:tc>
        <w:tcPr>
          <w:tcW w:w="6379" w:type="dxa"/>
          <w:vAlign w:val="bottom"/>
        </w:tcPr>
        <w:p w:rsidR="000B3818" w:rsidRDefault="000B3818">
          <w:pPr>
            <w:pStyle w:val="StandFirstIntroduction"/>
            <w:spacing w:line="240" w:lineRule="auto"/>
            <w:rPr>
              <w:sz w:val="20"/>
            </w:rPr>
          </w:pPr>
        </w:p>
        <w:p w:rsidR="000B3818" w:rsidRDefault="000B3818">
          <w:pPr>
            <w:pStyle w:val="StandFirstIntroduction"/>
            <w:spacing w:line="240" w:lineRule="auto"/>
            <w:rPr>
              <w:sz w:val="20"/>
            </w:rPr>
          </w:pPr>
        </w:p>
        <w:p w:rsidR="000B3818" w:rsidRDefault="000B3818">
          <w:pPr>
            <w:pStyle w:val="StandFirstIntroduction"/>
          </w:pPr>
        </w:p>
      </w:tc>
    </w:tr>
  </w:tbl>
  <w:p w:rsidR="000B3818" w:rsidRDefault="000B3818">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818" w:rsidRDefault="000B3818">
    <w:pPr>
      <w:pStyle w:val="Header"/>
    </w:pPr>
    <w:r>
      <w:rPr>
        <w:noProof/>
        <w:sz w:val="20"/>
        <w:lang w:val="en-US" w:bidi="ar-SA"/>
      </w:rPr>
      <w:pict>
        <v:line id="ThinGreenLine" o:spid="_x0000_s2053" style="position:absolute;left:0;text-align:left;flip:x;z-index:-251656704;mso-position-horizontal-relative:page;mso-position-vertical-relative:page" from="212.35pt,161.6pt" to="212.35pt,725.6pt" strokecolor="#09f"/>
      </w:pict>
    </w:r>
    <w:r>
      <w:rPr>
        <w:noProof/>
        <w:sz w:val="20"/>
        <w:lang w:val="en-US" w:bidi="ar-SA"/>
      </w:rPr>
      <w:pict>
        <v:shapetype id="_x0000_t202" coordsize="21600,21600" o:spt="202" path="m,l,21600r21600,l21600,xe">
          <v:stroke joinstyle="miter"/>
          <v:path gradientshapeok="t" o:connecttype="rect"/>
        </v:shapetype>
        <v:shape id="Green502" o:spid="_x0000_s2052" type="#_x0000_t202" style="position:absolute;left:0;text-align:left;margin-left:-.05pt;margin-top:41.8pt;width:612.1pt;height:24pt;z-index:-251657728;mso-wrap-edited:f;mso-position-horizontal-relative:page;mso-position-vertical-relative:page" wrapcoords="-92 0 -92 21392 21600 21392 21600 0 -92 0" fillcolor="#09f" stroked="f">
          <v:fill opacity=".5"/>
          <v:textbox style="mso-next-textbox:#Green502" inset="0,0,0,0">
            <w:txbxContent>
              <w:p w:rsidR="000B3818" w:rsidRDefault="000B3818"/>
            </w:txbxContent>
          </v:textbox>
          <w10:anchorlock/>
        </v:shape>
      </w:pict>
    </w:r>
    <w:r>
      <w:rPr>
        <w:noProof/>
        <w:sz w:val="20"/>
        <w:lang w:val="en-US" w:bidi="ar-SA"/>
      </w:rPr>
      <w:pict>
        <v:shape id="GreenFade2" o:spid="_x0000_s2051" type="#_x0000_t202" style="position:absolute;left:0;text-align:left;margin-left:0;margin-top:-.05pt;width:612.1pt;height:42pt;z-index:-251658752;mso-wrap-edited:f;mso-position-horizontal-relative:page;mso-position-vertical-relative:page" wrapcoords="-92 0 -92 21392 21600 21392 21600 0 -92 0" fillcolor="#09f" stroked="f">
          <v:fill color2="fill lighten(0)" angle="-90" method="linear sigma" focus="100%" type="gradient"/>
          <v:textbox style="mso-next-textbox:#GreenFade2" inset="0,0,0,0">
            <w:txbxContent>
              <w:p w:rsidR="000B3818" w:rsidRDefault="000B3818"/>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977E6"/>
    <w:multiLevelType w:val="multilevel"/>
    <w:tmpl w:val="4E4ABFC4"/>
    <w:lvl w:ilvl="0">
      <w:start w:val="1"/>
      <w:numFmt w:val="bullet"/>
      <w:lvlText w:val="−"/>
      <w:lvlJc w:val="left"/>
      <w:pPr>
        <w:tabs>
          <w:tab w:val="num" w:pos="360"/>
        </w:tabs>
        <w:ind w:left="360" w:hanging="180"/>
      </w:pPr>
      <w:rPr>
        <w:rFonts w:ascii="Franklin Gothic Book" w:hAnsi="Franklin Gothic Book"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C3435"/>
    <w:multiLevelType w:val="hybridMultilevel"/>
    <w:tmpl w:val="E6003004"/>
    <w:lvl w:ilvl="0" w:tplc="E2F674D0">
      <w:start w:val="1"/>
      <w:numFmt w:val="bullet"/>
      <w:lvlRestart w:val="0"/>
      <w:pStyle w:val="Bullet"/>
      <w:lvlText w:val=""/>
      <w:lvlJc w:val="left"/>
      <w:pPr>
        <w:tabs>
          <w:tab w:val="num" w:pos="170"/>
        </w:tabs>
        <w:ind w:left="170" w:hanging="17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AC6885"/>
    <w:multiLevelType w:val="hybridMultilevel"/>
    <w:tmpl w:val="072EB874"/>
    <w:lvl w:ilvl="0" w:tplc="44DE6368">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443231"/>
    <w:multiLevelType w:val="multilevel"/>
    <w:tmpl w:val="4E4ABFC4"/>
    <w:lvl w:ilvl="0">
      <w:start w:val="1"/>
      <w:numFmt w:val="bullet"/>
      <w:lvlText w:val="−"/>
      <w:lvlJc w:val="left"/>
      <w:pPr>
        <w:tabs>
          <w:tab w:val="num" w:pos="360"/>
        </w:tabs>
        <w:ind w:left="360" w:hanging="180"/>
      </w:pPr>
      <w:rPr>
        <w:rFonts w:ascii="Franklin Gothic Book" w:hAnsi="Franklin Gothic Book"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3140D9"/>
    <w:multiLevelType w:val="hybridMultilevel"/>
    <w:tmpl w:val="CBBEE9C8"/>
    <w:lvl w:ilvl="0" w:tplc="0E74F182">
      <w:start w:val="1"/>
      <w:numFmt w:val="bullet"/>
      <w:lvlRestart w:val="0"/>
      <w:pStyle w:val="Bulletbold"/>
      <w:lvlText w:val=""/>
      <w:lvlJc w:val="left"/>
      <w:pPr>
        <w:tabs>
          <w:tab w:val="num" w:pos="170"/>
        </w:tabs>
        <w:ind w:left="170" w:hanging="17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FE4487"/>
    <w:multiLevelType w:val="singleLevel"/>
    <w:tmpl w:val="86EEE6A8"/>
    <w:lvl w:ilvl="0">
      <w:start w:val="1"/>
      <w:numFmt w:val="decimal"/>
      <w:pStyle w:val="TOC2"/>
      <w:lvlText w:val="%1."/>
      <w:lvlJc w:val="left"/>
      <w:pPr>
        <w:tabs>
          <w:tab w:val="num" w:pos="360"/>
        </w:tabs>
        <w:ind w:left="360" w:hanging="360"/>
      </w:pPr>
    </w:lvl>
  </w:abstractNum>
  <w:abstractNum w:abstractNumId="8">
    <w:nsid w:val="4BE143AA"/>
    <w:multiLevelType w:val="hybridMultilevel"/>
    <w:tmpl w:val="101A1858"/>
    <w:lvl w:ilvl="0" w:tplc="1DEEBE46">
      <w:start w:val="1"/>
      <w:numFmt w:val="bullet"/>
      <w:lvlRestart w:val="0"/>
      <w:lvlText w:val=""/>
      <w:lvlJc w:val="left"/>
      <w:pPr>
        <w:tabs>
          <w:tab w:val="num" w:pos="350"/>
        </w:tabs>
        <w:ind w:left="350" w:hanging="170"/>
      </w:pPr>
      <w:rPr>
        <w:rFonts w:ascii="Wingdings" w:hAnsi="Wingdings" w:hint="default"/>
        <w:color w:val="666666"/>
        <w:sz w:val="14"/>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10">
    <w:nsid w:val="4F147D09"/>
    <w:multiLevelType w:val="hybridMultilevel"/>
    <w:tmpl w:val="D36EA414"/>
    <w:lvl w:ilvl="0" w:tplc="738AEFE6">
      <w:start w:val="1"/>
      <w:numFmt w:val="bullet"/>
      <w:lvlRestart w:val="0"/>
      <w:pStyle w:val="Bulletcolored"/>
      <w:lvlText w:val=""/>
      <w:lvlJc w:val="left"/>
      <w:pPr>
        <w:tabs>
          <w:tab w:val="num" w:pos="170"/>
        </w:tabs>
        <w:ind w:left="170" w:hanging="17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2">
    <w:nsid w:val="64167145"/>
    <w:multiLevelType w:val="multilevel"/>
    <w:tmpl w:val="101A1858"/>
    <w:lvl w:ilvl="0">
      <w:start w:val="1"/>
      <w:numFmt w:val="bullet"/>
      <w:lvlRestart w:val="0"/>
      <w:lvlText w:val=""/>
      <w:lvlJc w:val="left"/>
      <w:pPr>
        <w:tabs>
          <w:tab w:val="num" w:pos="350"/>
        </w:tabs>
        <w:ind w:left="350" w:hanging="170"/>
      </w:pPr>
      <w:rPr>
        <w:rFonts w:ascii="Wingdings" w:hAnsi="Wingdings" w:hint="default"/>
        <w:color w:val="666666"/>
        <w:sz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45A6C05"/>
    <w:multiLevelType w:val="multilevel"/>
    <w:tmpl w:val="BF965A8E"/>
    <w:lvl w:ilvl="0">
      <w:start w:val="1"/>
      <w:numFmt w:val="decimal"/>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9"/>
  </w:num>
  <w:num w:numId="3">
    <w:abstractNumId w:val="11"/>
  </w:num>
  <w:num w:numId="4">
    <w:abstractNumId w:val="7"/>
  </w:num>
  <w:num w:numId="5">
    <w:abstractNumId w:val="2"/>
  </w:num>
  <w:num w:numId="7">
    <w:abstractNumId w:val="14"/>
  </w:num>
  <w:num w:numId="8">
    <w:abstractNumId w:val="4"/>
  </w:num>
  <w:num w:numId="9">
    <w:abstractNumId w:val="2"/>
  </w:num>
  <w:num w:numId="10">
    <w:abstractNumId w:val="6"/>
  </w:num>
  <w:num w:numId="11">
    <w:abstractNumId w:val="3"/>
  </w:num>
  <w:num w:numId="12">
    <w:abstractNumId w:val="10"/>
  </w:num>
  <w:num w:numId="13">
    <w:abstractNumId w:val="5"/>
  </w:num>
  <w:num w:numId="14">
    <w:abstractNumId w:val="8"/>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attachedTemplate r:id="rId1"/>
  <w:stylePaneFormatFilter w:val="3F01"/>
  <w:documentProtection w:edit="forms" w:enforcement="1" w:cryptProviderType="rsaFull" w:cryptAlgorithmClass="hash" w:cryptAlgorithmType="typeAny" w:cryptAlgorithmSid="4" w:cryptSpinCount="50000" w:hash="UlcULZ3s2wsLPRfttfL6jowtl/8=" w:salt="eY+EdTfOeelXabIR+G9k9A=="/>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3074" style="mso-position-horizontal-relative:page;mso-position-vertical-relative:page" fillcolor="white" stroke="f">
      <v:fill color="white"/>
      <v:stroke on="f"/>
      <v:textbox inset="0,0,0,0"/>
      <o:colormru v:ext="edit" colors="#6c3,#afe494,silver,#ddd,#999,#ccc,#bde9a7"/>
    </o:shapedefaults>
    <o:shapelayout v:ext="edit">
      <o:idmap v:ext="edit" data="2"/>
    </o:shapelayout>
  </w:hdrShapeDefaults>
  <w:footnotePr>
    <w:footnote w:id="0"/>
    <w:footnote w:id="1"/>
  </w:footnotePr>
  <w:endnotePr>
    <w:endnote w:id="0"/>
    <w:endnote w:id="1"/>
  </w:endnotePr>
  <w:compat/>
  <w:docVars>
    <w:docVar w:name="ACTIVATED" w:val="1"/>
    <w:docVar w:name="CHKITEM" w:val="0"/>
    <w:docVar w:name="ColorHalfRGB" w:val="16765585"/>
    <w:docVar w:name="ColorName" w:val="Blue"/>
    <w:docVar w:name="ColorRGB" w:val="16750848"/>
    <w:docVar w:name="ComboBox1_ListCount" w:val="0"/>
    <w:docVar w:name="ComboBox1_ListIndex" w:val="-1"/>
    <w:docVar w:name="lbColour_0_0" w:val="Red"/>
    <w:docVar w:name="lbColour_0_1" w:val="13311"/>
    <w:docVar w:name="lbColour_0_2" w:val="9019391"/>
    <w:docVar w:name="lbColour_0_SELECTED" w:val="0"/>
    <w:docVar w:name="lbColour_1_0" w:val="Blue"/>
    <w:docVar w:name="lbColour_1_1" w:val="16750848"/>
    <w:docVar w:name="lbColour_1_2" w:val="16765585"/>
    <w:docVar w:name="lbColour_1_SELECTED" w:val="-1"/>
    <w:docVar w:name="lbColour_2_0" w:val="Green"/>
    <w:docVar w:name="lbColour_2_1" w:val="3394662"/>
    <w:docVar w:name="lbColour_2_2" w:val="11004349"/>
    <w:docVar w:name="lbColour_2_SELECTED" w:val="0"/>
    <w:docVar w:name="lbColour_3_0" w:val="Grey"/>
    <w:docVar w:name="lbColour_3_1" w:val="10066329"/>
    <w:docVar w:name="lbColour_3_2" w:val="12632256"/>
    <w:docVar w:name="lbColour_3_SELECTED" w:val="0"/>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9_0" w:val="MS Dynamics"/>
    <w:docVar w:name="lbColour_9_1" w:val="5778961"/>
    <w:docVar w:name="lbColour_9_2" w:val="16750848"/>
    <w:docVar w:name="lbColour_9_SELECTED" w:val="0"/>
    <w:docVar w:name="lbColour_ListCount" w:val="10"/>
    <w:docVar w:name="lbColour_ListIndex" w:val="1"/>
    <w:docVar w:name="lbList_0_0" w:val="Products"/>
    <w:docVar w:name="lbList_0_1" w:val="Microsoft Office 2007"/>
    <w:docVar w:name="lbList_0_2" w:val="038"/>
    <w:docVar w:name="lbList_0_SELECTED" w:val="0"/>
    <w:docVar w:name="lbList_1_0" w:val="Products"/>
    <w:docVar w:name="lbList_1_1" w:val="Microsoft FrontPage 2000"/>
    <w:docVar w:name="lbList_1_2" w:val="051"/>
    <w:docVar w:name="lbList_1_SELECTED" w:val="0"/>
    <w:docVar w:name="lbList_2_0" w:val="Products"/>
    <w:docVar w:name="lbList_2_1" w:val="Microsoft Publisher 2000"/>
    <w:docVar w:name="lbList_2_2" w:val="071"/>
    <w:docVar w:name="lbList_2_SELECTED" w:val="0"/>
    <w:docVar w:name="lbList_3_0" w:val="Products"/>
    <w:docVar w:name="lbList_3_1" w:val="Microsoft Office 2000 Developer"/>
    <w:docVar w:name="lbList_3_2" w:val="085"/>
    <w:docVar w:name="lbList_3_SELECTED" w:val="0"/>
    <w:docVar w:name="lbList_4_0" w:val="Products"/>
    <w:docVar w:name="lbList_4_1" w:val="Microsoft Exchange Server 2003"/>
    <w:docVar w:name="lbList_4_2" w:val="119"/>
    <w:docVar w:name="lbList_4_SELECTED" w:val="-1"/>
    <w:docVar w:name="lbList_ListCount" w:val="5"/>
    <w:docVar w:name="lbList_ListIndex" w:val="4"/>
    <w:docVar w:name="lbOffice_ListCount" w:val="0"/>
    <w:docVar w:name="lbOffice_ListIndex" w:val="-1"/>
    <w:docVar w:name="lbProductList_0_0" w:val=" DEFAULT"/>
    <w:docVar w:name="lbProductList_0_SELECTED" w:val="0"/>
    <w:docVar w:name="lbProductList_1_0" w:val=".NET Framework 3.0"/>
    <w:docVar w:name="lbProductList_1_SELECTED" w:val="0"/>
    <w:docVar w:name="lbProductList_10_0" w:val="CMS"/>
    <w:docVar w:name="lbProductList_10_SELECTED" w:val="0"/>
    <w:docVar w:name="lbProductList_11_0" w:val="Commerce Server"/>
    <w:docVar w:name="lbProductList_11_SELECTED" w:val="0"/>
    <w:docVar w:name="lbProductList_12_0" w:val="Communications Sector"/>
    <w:docVar w:name="lbProductList_12_SELECTED" w:val="0"/>
    <w:docVar w:name="lbProductList_13_0" w:val="Dynamics"/>
    <w:docVar w:name="lbProductList_13_SELECTED" w:val="0"/>
    <w:docVar w:name="lbProductList_14_0" w:val="Enterprise Integration"/>
    <w:docVar w:name="lbProductList_14_SELECTED" w:val="0"/>
    <w:docVar w:name="lbProductList_15_0" w:val="Exchange 2000"/>
    <w:docVar w:name="lbProductList_15_SELECTED" w:val="0"/>
    <w:docVar w:name="lbProductList_16_0" w:val="Exchange 2003"/>
    <w:docVar w:name="lbProductList_16_SELECTED" w:val="0"/>
    <w:docVar w:name="lbProductList_17_0" w:val="Exchange 2007"/>
    <w:docVar w:name="lbProductList_17_SELECTED" w:val="0"/>
    <w:docVar w:name="lbProductList_18_0" w:val="Groove Virtual Office"/>
    <w:docVar w:name="lbProductList_18_SELECTED" w:val="0"/>
    <w:docVar w:name="lbProductList_19_0" w:val="Internet Business"/>
    <w:docVar w:name="lbProductList_19_SELECTED" w:val="0"/>
    <w:docVar w:name="lbProductList_2_0" w:val=".NET"/>
    <w:docVar w:name="lbProductList_2_SELECTED" w:val="0"/>
    <w:docVar w:name="lbProductList_20_0" w:val="Interoperability"/>
    <w:docVar w:name="lbProductList_20_SELECTED" w:val="0"/>
    <w:docVar w:name="lbProductList_21_0" w:val="ISA"/>
    <w:docVar w:name="lbProductList_21_SELECTED" w:val="0"/>
    <w:docVar w:name="lbProductList_22_0" w:val="Macintosh Business Unit"/>
    <w:docVar w:name="lbProductList_22_SELECTED" w:val="0"/>
    <w:docVar w:name="lbProductList_23_0" w:val="MBS"/>
    <w:docVar w:name="lbProductList_23_SELECTED" w:val="0"/>
    <w:docVar w:name="lbProductList_24_0" w:val="MCSE"/>
    <w:docVar w:name="lbProductList_24_SELECTED" w:val="0"/>
    <w:docVar w:name="lbProductList_25_0" w:val="Microsoft Learning"/>
    <w:docVar w:name="lbProductList_25_SELECTED" w:val="0"/>
    <w:docVar w:name="lbProductList_26_0" w:val="Microsoft Server"/>
    <w:docVar w:name="lbProductList_26_SELECTED" w:val="0"/>
    <w:docVar w:name="lbProductList_27_0" w:val="Microsoft Services"/>
    <w:docVar w:name="lbProductList_27_SELECTED" w:val="0"/>
    <w:docVar w:name="lbProductList_28_0" w:val="MSA"/>
    <w:docVar w:name="lbProductList_28_SELECTED" w:val="0"/>
    <w:docVar w:name="lbProductList_29_0" w:val="MSPP"/>
    <w:docVar w:name="lbProductList_29_SELECTED" w:val="0"/>
    <w:docVar w:name="lbProductList_3_0" w:val="Active Directory"/>
    <w:docVar w:name="lbProductList_3_SELECTED" w:val="0"/>
    <w:docVar w:name="lbProductList_30_0" w:val="MTC"/>
    <w:docVar w:name="lbProductList_30_SELECTED" w:val="0"/>
    <w:docVar w:name="lbProductList_31_0" w:val="Office System"/>
    <w:docVar w:name="lbProductList_31_SELECTED" w:val="0"/>
    <w:docVar w:name="lbProductList_32_0" w:val="Office_Exchange"/>
    <w:docVar w:name="lbProductList_32_SELECTED" w:val="0"/>
    <w:docVar w:name="lbProductList_33_0" w:val="Office_Exchange_Vista"/>
    <w:docVar w:name="lbProductList_33_SELECTED" w:val="0"/>
    <w:docVar w:name="lbProductList_34_0" w:val="Office_Vista"/>
    <w:docVar w:name="lbProductList_34_SELECTED" w:val="0"/>
    <w:docVar w:name="lbProductList_35_0" w:val="Portals"/>
    <w:docVar w:name="lbProductList_35_SELECTED" w:val="0"/>
    <w:docVar w:name="lbProductList_36_0" w:val="Project EPM"/>
    <w:docVar w:name="lbProductList_36_SELECTED" w:val="0"/>
    <w:docVar w:name="lbProductList_37_0" w:val="Project_Six_Sigma"/>
    <w:docVar w:name="lbProductList_37_SELECTED" w:val="0"/>
    <w:docVar w:name="lbProductList_38_0" w:val="Rationalized to Dynamic"/>
    <w:docVar w:name="lbProductList_38_SELECTED" w:val="0"/>
    <w:docVar w:name="lbProductList_39_0" w:val="RMS"/>
    <w:docVar w:name="lbProductList_39_SELECTED" w:val="0"/>
    <w:docVar w:name="lbProductList_4_0" w:val="Basic to Standardized"/>
    <w:docVar w:name="lbProductList_4_SELECTED" w:val="0"/>
    <w:docVar w:name="lbProductList_40_0" w:val="SAM"/>
    <w:docVar w:name="lbProductList_40_SELECTED" w:val="-1"/>
    <w:docVar w:name="lbProductList_41_0" w:val="Server Consolidation"/>
    <w:docVar w:name="lbProductList_41_SELECTED" w:val="0"/>
    <w:docVar w:name="lbProductList_42_0" w:val="Small Business Server 2003"/>
    <w:docVar w:name="lbProductList_42_SELECTED" w:val="0"/>
    <w:docVar w:name="lbProductList_43_0" w:val="SMS"/>
    <w:docVar w:name="lbProductList_43_SELECTED" w:val="0"/>
    <w:docVar w:name="lbProductList_44_0" w:val="SQL Server"/>
    <w:docVar w:name="lbProductList_44_SELECTED" w:val="0"/>
    <w:docVar w:name="lbProductList_45_0" w:val="Standardized to Rationalized"/>
    <w:docVar w:name="lbProductList_45_SELECTED" w:val="0"/>
    <w:docVar w:name="lbProductList_46_0" w:val="Tablet PC"/>
    <w:docVar w:name="lbProductList_46_SELECTED" w:val="0"/>
    <w:docVar w:name="lbProductList_47_0" w:val="Visio"/>
    <w:docVar w:name="lbProductList_47_SELECTED" w:val="0"/>
    <w:docVar w:name="lbProductList_48_0" w:val="Visual Studio"/>
    <w:docVar w:name="lbProductList_48_SELECTED" w:val="0"/>
    <w:docVar w:name="lbProductList_49_0" w:val="Volume Licensing"/>
    <w:docVar w:name="lbProductList_49_SELECTED" w:val="0"/>
    <w:docVar w:name="lbProductList_5_0" w:val="BDM Financial Services"/>
    <w:docVar w:name="lbProductList_5_SELECTED" w:val="0"/>
    <w:docVar w:name="lbProductList_50_0" w:val="Windows Desktop Search"/>
    <w:docVar w:name="lbProductList_50_SELECTED" w:val="0"/>
    <w:docVar w:name="lbProductList_51_0" w:val="Windows Mobile"/>
    <w:docVar w:name="lbProductList_51_SELECTED" w:val="0"/>
    <w:docVar w:name="lbProductList_52_0" w:val="Windows Server 2003 R2"/>
    <w:docVar w:name="lbProductList_52_SELECTED" w:val="0"/>
    <w:docVar w:name="lbProductList_53_0" w:val="Windows Server 2003"/>
    <w:docVar w:name="lbProductList_53_SELECTED" w:val="0"/>
    <w:docVar w:name="lbProductList_54_0" w:val="Windows Vista"/>
    <w:docVar w:name="lbProductList_54_SELECTED" w:val="0"/>
    <w:docVar w:name="lbProductList_55_0" w:val="Windows XP"/>
    <w:docVar w:name="lbProductList_55_SELECTED" w:val="0"/>
    <w:docVar w:name="lbProductList_6_0" w:val="BDM Healthcare Services"/>
    <w:docVar w:name="lbProductList_6_SELECTED" w:val="0"/>
    <w:docVar w:name="lbProductList_7_0" w:val="BDM Manufacturing"/>
    <w:docVar w:name="lbProductList_7_SELECTED" w:val="0"/>
    <w:docVar w:name="lbProductList_8_0" w:val="BDM Retail"/>
    <w:docVar w:name="lbProductList_8_SELECTED" w:val="0"/>
    <w:docVar w:name="lbProductList_9_0" w:val="Biztalk"/>
    <w:docVar w:name="lbProductList_9_SELECTED" w:val="0"/>
    <w:docVar w:name="lbProductList_ListCount" w:val="56"/>
    <w:docVar w:name="lbProductList_ListIndex" w:val="40"/>
    <w:docVar w:name="RERUN" w:val="1"/>
    <w:docVar w:name="tbCustomerName" w:val="World Sport Group Pte Ltd"/>
    <w:docVar w:name="tbCustomerPhone" w:val="6826-2688"/>
    <w:docVar w:name="tbCustomerURL" w:val="www.worldsportgroup.com"/>
    <w:docVar w:name="tbDatePublished" w:val="January 2007"/>
    <w:docVar w:name="tbDisclaimer1" w:val="This case study is for informational purposes only. MICROSOFT MAKES NO WARRANTIES, EXPRESS OR IMPLIED, IN THIS SUMMARY. "/>
    <w:docVar w:name="tbDocumentBenefits" w:val="For a reputable organisation such as WSG, it was critical to ensure that their business was indeed fully compliant and adherent to Singapore’s Copyright Act. &#10;The process was fuss-free and thorough, and Mr Morriss and his IT staff were able to tap into TecBiz expertise to learn compliance techniques that will ensure full conformity at all times. "/>
    <w:docVar w:name="tbDocumentFirstPageBody" w:val="Since 1993, the World Sport Group (WSG) has been the leading sports marketing and media firm in Asia. Run by individuals with a passion for and a wealth of experience in sports development – WSG has been hugely successful in promoting Asian sport to a global audience. &#10;Compliance has always been top of WSG’s agenda; as a matter of fact, it has always been part of their IT procurement policy. With further expansion planned and an increased headcount expected in the year ahead, the Group decided to conduct a formal verification of its inventory to ensure full compliance of its existing software assets.&#10;The company enrolled in Microsoft’s LicenseCare program, and TecBiz FRisMan was appointed to perform an on-site assessment. The review took a day and WSG was relieved to discover that they were mostly compliant with some redundant licenses. And with minimal fuss, the company has since made "/>
    <w:docVar w:name="tbDocumentIntroduction" w:val="“It was important for us to ensure that our organization was consistently applying IT policies and procedures to safeguard our business assets. To be license compliant has put our worried minds at eas"/>
    <w:docVar w:name="tbDocumentIntroductionCredit" w:val="Andrew J Morriss, Chief Financial Officer, World Sport Group"/>
    <w:docVar w:name="tbDocumentSituation" w:val="The World Sport Group (WSG) is a unique organization dedicated to the development of sport and its related commercial rights in the world’s fastest growing and most exciting marketplace – Asia. &#10;The foundation of their philosophy can be summed up in a simple yet powerful proposition: taking Asian sport to the world.&#10;It has been hugely successful in promoting sporting events, generating incredible levels of interest across the continent with packed stadiums and live television broadcasts delivering record-breaking numbers of viewers and extensive media coverage. &#10;Their vision for Asian sport is to create winning partnerships by marrying corporate and sporting values in a way that brings lasting benefits to all parties. By understanding the needs and ambitions of both sport and business, WSG provide the solutions that turn opportunity into success.&#10;This union is central to their vision for sport in Asia and is supported by their unparallel experience, integrity and insight into the marketplace.&#10;Compliance has always been part of WSG’s IT procurement policy, and is the combined responsibility of the Finance and IT team. &#10;They have been diligent in maintaining records of the software assets to upkeep compliance through internal audits with the use of compliance software, EZ-Audit.&#10;But as an added precaution, with further expansion planned and an increased number of computers and servers to be added in the year ahead, the Group decided to seek expert help to conduct a formal verification of its inventory to ensure full compliance of its existing software assets. &#10;“Compliance is much too important to risk our company’s reputation on. We run our business by it and our clients depend on us to deliver on it. We can’t afford the hiccups that come with not having the right licenses,” said Andrew Morriss, Chief Financial Officer, World Sport Group."/>
    <w:docVar w:name="tbDocumentSolution" w:val="&#10;From a visit to the Microsoft website in late 2005, the Group’s IT Administrator found more information on the Microsoft LicenseCare program. &#10;The Microsoft LicenseCare program offers on-site assessment of compliance status. Through the program, Microsoft works with end-users to help them achieve compliance. &#10;The program ensures end-users stay far and clear of running into legal action from any unintentional use of un-licensed software.&#10;The program also introduces to corporate end-users the practice and benefits of Software Assessment Management (SAM). SAM is a business process that helps companies cut software costs, manages software purchases, and avoids penalties associated with license non-compliance.&#10;WSG contacted Microsoft immediately and TecBiz FRisMan was subsequently appointed to conduct the on-site assessment in June 2005.&#10;“We wanted to ensure full license compliance. It was important for us to ensure that our organization was consistently applying IT policies and procedures to safeguard our business assets. To be license compliant has put our worried minds at ease,” said Moriss.&#10;Two TecBiz consultants were sent to assess the situation and the evaluation was completed within a day. &#10;Time was spent documenting all registered licenses, followed by the careful, thorough inspection of all the computers and servers to evaluate the software installed. The installation counts of each version of every software product were tallied and matched against the licenses recorded.&#10;Andrew Morriss related: “The new amendment to the Copyright Act amplified the company’s current policy and gave further impetus to achieve full compliance. We had attempted an internal audit through the use of EZ-Audit but were worried that we may still be under-licensed.”&#10;It was good news when the TecBiz consultants informed WSG that they were mostly compliant. The remaining unmatched installations and registrations, were discussed with WSG’s IT Administrator and resolved quickly. &#10;Andrew Morriss explained: “There were some surprises at first. For instance, we had over purchased MS Office 2000 and realized that we had unused licenses in our Hong Kong office. We have since transferred those unused licenses to the Singapore office.”&#10;The TecBiz consultants also offered professional advice on how they could optimise the use of all their licenses without compromising with the law. &#10;“We have a good working relationship with TecBiz, and they saved the company time and money in providing there view on behalf of Microsoft. They also handed us an auditable report on WSG’s compliance, and overall, we were satisfied with the findings.”"/>
    <w:docVar w:name="tbDocumentTitle" w:val="Compliance Upheld as Sports Marketing and Media Firm Tackles IP Near Falls"/>
    <w:docVar w:name="tbOverviewBenefits1" w:val="Ensured thorough compliance to"/>
    <w:docVar w:name="tbOverviewBenefits2" w:val="Reaffirmed"/>
    <w:docVar w:name="tbOverviewBenefits3" w:val="Creation"/>
    <w:docVar w:name="tbOverviewBenefits4" w:val="Optimization"/>
    <w:docVar w:name="tbOverviewBusinessSituation" w:val="WSG’s IT procurement policy has always stressed the need for license compliance. The new amendment to the Singapore Copyright Act only amplified the company’s current policy and gave it further impetu"/>
    <w:docVar w:name="tbOverviewCountry" w:val="Singapore"/>
    <w:docVar w:name="tbOverviewCustomerProfile" w:val="World Sport Group (WSG) is the leading sports marketing and media business in Asia. The Group has been at the forefront of sports development in Asia since 1993."/>
    <w:docVar w:name="tbOverviewIndustry" w:val="Sports Marketing &amp; Media"/>
    <w:docVar w:name="tbOverviewSolution" w:val="Microsoft LicenseCare program appoints LicenseCare consultant, TecBiz FRisMan to evaluate WSG’s license inventory of over 60 desktop computers, including 5 servers."/>
    <w:docVar w:name="tbPartnerName" w:val="TecBiz FRisMan"/>
    <w:docVar w:name="tbPartnerPhone" w:val="6225-1998"/>
    <w:docVar w:name="tbPartnerURL" w:val="www.tecbizfrisman.com"/>
    <w:docVar w:name="tbProductBoilerplateText" w:val="Software asset management (SAM) is a program to help optimize your technology investment. Software is an asset, and knowing what you have, acquiring only what you need, and establishing current and ongoing policies and procedures to track and maintain software are critical functions of any organization.&#10;&#10;For additional information, including free tools and resources, visit:&#10;www.microsoft.com/sam &#10;"/>
    <w:docVar w:name="tbProductBoilerplateTitle" w:val="Microsoft Software Asset Management"/>
    <w:docVar w:name="tbProductPartners1" w:val="TecBiz FRisMan"/>
    <w:docVar w:name="tbProductTitle" w:val="Microsoft Software Asset Management&#10;Customer Solution Case Study"/>
  </w:docVars>
  <w:rsids>
    <w:rsidRoot w:val="00B3418B"/>
    <w:rsid w:val="000B3818"/>
    <w:rsid w:val="000F4FE1"/>
    <w:rsid w:val="00383B3E"/>
    <w:rsid w:val="00971E17"/>
    <w:rsid w:val="00B341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style="mso-position-horizontal-relative:page;mso-position-vertical-relative:page" fillcolor="white" stroke="f">
      <v:fill color="white"/>
      <v:stroke on="f"/>
      <v:textbox inset="0,0,0,0"/>
      <o:colormru v:ext="edit" colors="#6c3,#afe494,silver,#ddd,#999,#ccc,#bde9a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Franklin Gothic Book" w:hAnsi="Franklin Gothic Book"/>
      <w:sz w:val="17"/>
      <w:szCs w:val="24"/>
      <w:lang w:val="en-GB"/>
    </w:rPr>
  </w:style>
  <w:style w:type="paragraph" w:styleId="Heading1">
    <w:name w:val="heading 1"/>
    <w:basedOn w:val="Normal"/>
    <w:next w:val="Normal"/>
    <w:qFormat/>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pPr>
      <w:numPr>
        <w:ilvl w:val="1"/>
        <w:numId w:val="6"/>
      </w:numPr>
      <w:spacing w:after="240"/>
      <w:jc w:val="left"/>
      <w:outlineLvl w:val="1"/>
    </w:pPr>
    <w:rPr>
      <w:kern w:val="0"/>
      <w:sz w:val="26"/>
    </w:rPr>
  </w:style>
  <w:style w:type="paragraph" w:styleId="Heading3">
    <w:name w:val="heading 3"/>
    <w:basedOn w:val="Normal"/>
    <w:next w:val="Normal"/>
    <w:qFormat/>
    <w:pPr>
      <w:keepNext/>
      <w:numPr>
        <w:ilvl w:val="2"/>
        <w:numId w:val="7"/>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pPr>
      <w:keepNext/>
      <w:spacing w:before="240" w:after="60"/>
      <w:outlineLvl w:val="3"/>
    </w:pPr>
    <w:rPr>
      <w:rFonts w:ascii="Arial" w:hAnsi="Arial"/>
      <w:b/>
      <w:sz w:val="24"/>
      <w:szCs w:val="20"/>
      <w:lang w:bidi="he-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de">
    <w:name w:val="Code"/>
    <w:basedOn w:val="Normal"/>
    <w:pPr>
      <w:ind w:left="1134"/>
    </w:pPr>
    <w:rPr>
      <w:rFonts w:ascii="Lucida Sans Typewriter" w:hAnsi="Lucida Sans Typewriter"/>
      <w:sz w:val="20"/>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jc w:val="both"/>
    </w:pPr>
    <w:rPr>
      <w:sz w:val="16"/>
      <w:szCs w:val="20"/>
      <w:lang w:bidi="he-IL"/>
    </w:rPr>
  </w:style>
  <w:style w:type="paragraph" w:styleId="EnvelopeReturn">
    <w:name w:val="envelope return"/>
    <w:basedOn w:val="Normal"/>
    <w:rPr>
      <w:rFonts w:ascii="FundRunk-Normal" w:hAnsi="FundRunk-Normal"/>
      <w:i/>
      <w:sz w:val="48"/>
      <w:szCs w:val="48"/>
    </w:rPr>
  </w:style>
  <w:style w:type="paragraph" w:styleId="CommentText">
    <w:name w:val="annotation text"/>
    <w:basedOn w:val="Normal"/>
    <w:semiHidden/>
    <w:rPr>
      <w:sz w:val="24"/>
    </w:rPr>
  </w:style>
  <w:style w:type="paragraph" w:customStyle="1" w:styleId="Answer">
    <w:name w:val="Answer"/>
    <w:basedOn w:val="Normal"/>
    <w:next w:val="Question"/>
    <w:pPr>
      <w:numPr>
        <w:numId w:val="3"/>
      </w:numPr>
    </w:pPr>
    <w:rPr>
      <w:i/>
    </w:rPr>
  </w:style>
  <w:style w:type="paragraph" w:customStyle="1" w:styleId="Question">
    <w:name w:val="Question"/>
    <w:basedOn w:val="Normal"/>
    <w:next w:val="Answer"/>
    <w:pPr>
      <w:numPr>
        <w:numId w:val="2"/>
      </w:numPr>
    </w:pPr>
  </w:style>
  <w:style w:type="paragraph" w:customStyle="1" w:styleId="Bodycopy">
    <w:name w:val="Body copy"/>
    <w:basedOn w:val="Normal"/>
    <w:pPr>
      <w:spacing w:line="240" w:lineRule="exact"/>
    </w:pPr>
    <w:rPr>
      <w:lang w:val="en-US"/>
    </w:rPr>
  </w:style>
  <w:style w:type="paragraph" w:customStyle="1" w:styleId="SectionHeading">
    <w:name w:val="Section Heading"/>
    <w:basedOn w:val="ColoredText"/>
    <w:next w:val="Bodycopy"/>
    <w:rPr>
      <w:rFonts w:ascii="Franklin Gothic Medium" w:hAnsi="Franklin Gothic Medium"/>
      <w:sz w:val="24"/>
    </w:rPr>
  </w:style>
  <w:style w:type="paragraph" w:customStyle="1" w:styleId="Subject">
    <w:name w:val="Subject"/>
    <w:basedOn w:val="Normal"/>
    <w:pPr>
      <w:jc w:val="center"/>
    </w:pPr>
    <w:rPr>
      <w:rFonts w:ascii="Century Schoolbook" w:hAnsi="Century Schoolbook"/>
      <w:b/>
      <w:sz w:val="32"/>
      <w:u w:val="single"/>
    </w:rPr>
  </w:style>
  <w:style w:type="paragraph" w:styleId="PlainText">
    <w:name w:val="Plain Text"/>
    <w:basedOn w:val="Normal"/>
    <w:rPr>
      <w:sz w:val="22"/>
    </w:rPr>
  </w:style>
  <w:style w:type="paragraph" w:customStyle="1" w:styleId="MergedAnswer">
    <w:name w:val="MergedAnswer"/>
    <w:basedOn w:val="Normal"/>
  </w:style>
  <w:style w:type="paragraph" w:styleId="TOC2">
    <w:name w:val="toc 2"/>
    <w:basedOn w:val="Normal"/>
    <w:next w:val="Normal"/>
    <w:autoRedefine/>
    <w:semiHidden/>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pPr>
      <w:spacing w:line="360" w:lineRule="exact"/>
    </w:pPr>
    <w:rPr>
      <w:sz w:val="24"/>
    </w:rPr>
  </w:style>
  <w:style w:type="paragraph" w:customStyle="1" w:styleId="PartnerName">
    <w:name w:val="Partner Name"/>
    <w:basedOn w:val="ColoredText"/>
    <w:pPr>
      <w:spacing w:after="10" w:line="240" w:lineRule="auto"/>
    </w:pPr>
    <w:rPr>
      <w:rFonts w:ascii="Franklin Gothic Medium" w:hAnsi="Franklin Gothic Medium"/>
      <w:bCs/>
      <w:sz w:val="32"/>
    </w:rPr>
  </w:style>
  <w:style w:type="paragraph" w:customStyle="1" w:styleId="WHITEPAPER">
    <w:name w:val="WHITE PAPER"/>
    <w:basedOn w:val="ColoredText"/>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pPr>
      <w:spacing w:before="40" w:after="20"/>
    </w:pPr>
    <w:rPr>
      <w:rFonts w:ascii="Franklin Gothic Medium" w:hAnsi="Franklin Gothic Medium"/>
      <w:b/>
      <w:bCs/>
    </w:rPr>
  </w:style>
  <w:style w:type="paragraph" w:customStyle="1" w:styleId="Bullet">
    <w:name w:val="Bullet"/>
    <w:basedOn w:val="Bulletcolored"/>
    <w:pPr>
      <w:numPr>
        <w:numId w:val="11"/>
      </w:numPr>
    </w:pPr>
    <w:rPr>
      <w:color w:val="auto"/>
    </w:rPr>
  </w:style>
  <w:style w:type="paragraph" w:customStyle="1" w:styleId="Bodycopyheading">
    <w:name w:val="Body copy heading"/>
    <w:basedOn w:val="Bodycopy"/>
    <w:next w:val="Bodycopy"/>
    <w:rPr>
      <w:rFonts w:ascii="Franklin Gothic Heavy" w:hAnsi="Franklin Gothic Heavy"/>
      <w:szCs w:val="17"/>
    </w:rPr>
  </w:style>
  <w:style w:type="paragraph" w:customStyle="1" w:styleId="Disclaimer">
    <w:name w:val="Disclaimer"/>
    <w:basedOn w:val="Bodycopy"/>
    <w:pPr>
      <w:spacing w:line="120" w:lineRule="exact"/>
    </w:pPr>
    <w:rPr>
      <w:sz w:val="11"/>
    </w:rPr>
  </w:style>
  <w:style w:type="paragraph" w:customStyle="1" w:styleId="Pullquote">
    <w:name w:val="Pull quote"/>
    <w:basedOn w:val="ColoredText"/>
    <w:pPr>
      <w:spacing w:line="360" w:lineRule="exact"/>
    </w:pPr>
    <w:rPr>
      <w:sz w:val="30"/>
    </w:rPr>
  </w:style>
  <w:style w:type="paragraph" w:customStyle="1" w:styleId="Diagramcaption">
    <w:name w:val="Diagram caption"/>
    <w:basedOn w:val="ColoredText"/>
    <w:rPr>
      <w:rFonts w:ascii="Franklin Gothic Medium" w:hAnsi="Franklin Gothic Medium"/>
      <w:sz w:val="19"/>
    </w:rPr>
  </w:style>
  <w:style w:type="paragraph" w:styleId="TOC1">
    <w:name w:val="toc 1"/>
    <w:basedOn w:val="Normal"/>
    <w:next w:val="Normal"/>
    <w:semiHidden/>
    <w:pPr>
      <w:tabs>
        <w:tab w:val="right" w:pos="3289"/>
      </w:tabs>
      <w:spacing w:line="360" w:lineRule="exact"/>
    </w:pPr>
    <w:rPr>
      <w:noProof/>
      <w:color w:val="FFFFFF"/>
      <w:sz w:val="24"/>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basedOn w:val="DefaultParagraphFont"/>
    <w:rPr>
      <w:color w:val="0000FF"/>
      <w:u w:val="single"/>
    </w:rPr>
  </w:style>
  <w:style w:type="paragraph" w:customStyle="1" w:styleId="AutoCorrect">
    <w:name w:val="AutoCorrect"/>
    <w:rPr>
      <w:lang w:val="en-GB" w:bidi="he-IL"/>
    </w:rPr>
  </w:style>
  <w:style w:type="paragraph" w:styleId="BodyText">
    <w:name w:val="Body Text"/>
    <w:basedOn w:val="Normal"/>
    <w:pPr>
      <w:spacing w:after="120"/>
    </w:pPr>
    <w:rPr>
      <w:rFonts w:ascii="Arial" w:hAnsi="Arial"/>
      <w:snapToGrid w:val="0"/>
      <w:sz w:val="20"/>
      <w:szCs w:val="20"/>
      <w:lang w:val="en-US" w:bidi="he-IL"/>
    </w:rPr>
  </w:style>
  <w:style w:type="paragraph" w:customStyle="1" w:styleId="Bulletcolored">
    <w:name w:val="Bullet colored"/>
    <w:basedOn w:val="ColoredText"/>
    <w:pPr>
      <w:numPr>
        <w:numId w:val="12"/>
      </w:numPr>
    </w:pPr>
    <w:rPr>
      <w:szCs w:val="17"/>
    </w:rPr>
  </w:style>
  <w:style w:type="paragraph" w:customStyle="1" w:styleId="ColoredText">
    <w:name w:val="Colored Text"/>
    <w:basedOn w:val="Bodycopy"/>
    <w:rPr>
      <w:color w:val="0099FF"/>
    </w:rPr>
  </w:style>
  <w:style w:type="paragraph" w:customStyle="1" w:styleId="DocumentTitle">
    <w:name w:val="Document Title"/>
    <w:basedOn w:val="ColoredText"/>
    <w:pPr>
      <w:spacing w:line="360" w:lineRule="exact"/>
    </w:pPr>
    <w:rPr>
      <w:rFonts w:ascii="Franklin Gothic Medium" w:hAnsi="Franklin Gothic Medium"/>
      <w:color w:val="auto"/>
      <w:sz w:val="32"/>
    </w:rPr>
  </w:style>
  <w:style w:type="paragraph" w:customStyle="1" w:styleId="Tableheading">
    <w:name w:val="Table heading"/>
    <w:basedOn w:val="ColoredText"/>
    <w:rPr>
      <w:rFonts w:ascii="Franklin Gothic Medium" w:hAnsi="Franklin Gothic Medium"/>
      <w:bCs/>
    </w:rPr>
  </w:style>
  <w:style w:type="paragraph" w:customStyle="1" w:styleId="Bulletbold">
    <w:name w:val="Bullet bold"/>
    <w:basedOn w:val="Bullet"/>
    <w:pPr>
      <w:numPr>
        <w:numId w:val="10"/>
      </w:numPr>
    </w:pPr>
    <w:rPr>
      <w:rFonts w:ascii="Franklin Gothic Heavy" w:hAnsi="Franklin Gothic Heavy"/>
    </w:rPr>
  </w:style>
  <w:style w:type="paragraph" w:customStyle="1" w:styleId="Contents">
    <w:name w:val="Contents"/>
    <w:basedOn w:val="Bodycopy"/>
    <w:pPr>
      <w:spacing w:line="480" w:lineRule="exact"/>
    </w:pPr>
    <w:rPr>
      <w:rFonts w:ascii="Franklin Gothic Medium" w:hAnsi="Franklin Gothic Medium"/>
      <w:color w:val="FFFFFF"/>
      <w:sz w:val="30"/>
    </w:rPr>
  </w:style>
  <w:style w:type="character" w:styleId="PageNumber">
    <w:name w:val="page number"/>
    <w:basedOn w:val="DefaultParagraphFont"/>
    <w:rPr>
      <w:rFonts w:ascii="Franklin Gothic Book" w:hAnsi="Franklin Gothic Book"/>
      <w:spacing w:val="20"/>
      <w:sz w:val="16"/>
    </w:rPr>
  </w:style>
  <w:style w:type="paragraph" w:customStyle="1" w:styleId="Tabletext">
    <w:name w:val="Table text"/>
    <w:basedOn w:val="Bodycopy"/>
    <w:pPr>
      <w:spacing w:after="40"/>
    </w:pPr>
  </w:style>
  <w:style w:type="paragraph" w:customStyle="1" w:styleId="OrangeText">
    <w:name w:val="Orange Text"/>
    <w:basedOn w:val="Normal"/>
    <w:pPr>
      <w:spacing w:line="240" w:lineRule="exact"/>
    </w:pPr>
    <w:rPr>
      <w:color w:val="FF3300"/>
    </w:rPr>
  </w:style>
  <w:style w:type="paragraph" w:customStyle="1" w:styleId="Casestudydescription">
    <w:name w:val="Case study description"/>
    <w:basedOn w:val="Normal"/>
    <w:rPr>
      <w:rFonts w:ascii="Franklin Gothic Medium" w:hAnsi="Franklin Gothic Medium"/>
      <w:color w:val="FFFFFF"/>
      <w:sz w:val="24"/>
    </w:rPr>
  </w:style>
  <w:style w:type="paragraph" w:customStyle="1" w:styleId="PullQuotecredit">
    <w:name w:val="Pull Quote credit"/>
    <w:basedOn w:val="Pullquote"/>
    <w:pPr>
      <w:spacing w:before="120" w:line="240" w:lineRule="exact"/>
    </w:pPr>
    <w:rPr>
      <w:sz w:val="16"/>
    </w:rPr>
  </w:style>
  <w:style w:type="paragraph" w:customStyle="1" w:styleId="Diagramtitle">
    <w:name w:val="Diagram title"/>
    <w:basedOn w:val="Bodycopy"/>
    <w:rPr>
      <w:rFonts w:ascii="Franklin Gothic Medium" w:hAnsi="Franklin Gothic Medium"/>
      <w:color w:val="FFFFFF"/>
      <w:sz w:val="19"/>
    </w:rPr>
  </w:style>
  <w:style w:type="paragraph" w:customStyle="1" w:styleId="Bullet2">
    <w:name w:val="Bullet2"/>
    <w:basedOn w:val="Bullet"/>
    <w:pPr>
      <w:numPr>
        <w:numId w:val="0"/>
      </w:numPr>
      <w:ind w:left="170"/>
    </w:pPr>
  </w:style>
  <w:style w:type="paragraph" w:customStyle="1" w:styleId="SectionHeadingGrey">
    <w:name w:val="Section Heading Grey"/>
    <w:basedOn w:val="SectionHeading"/>
    <w:rPr>
      <w:color w:val="666666"/>
    </w:rPr>
  </w:style>
  <w:style w:type="paragraph" w:customStyle="1" w:styleId="BulletGrey">
    <w:name w:val="Bullet Grey"/>
    <w:basedOn w:val="Bullet"/>
    <w:pPr>
      <w:numPr>
        <w:numId w:val="8"/>
      </w:numPr>
    </w:pPr>
  </w:style>
  <w:style w:type="paragraph" w:customStyle="1" w:styleId="TableTitle">
    <w:name w:val="Table Title"/>
    <w:basedOn w:val="Tabletextheading"/>
    <w:pPr>
      <w:ind w:left="60"/>
    </w:pPr>
    <w:rPr>
      <w:color w:val="FFFFFF"/>
      <w:szCs w:val="17"/>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pPr>
      <w:numPr>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Subject">
    <w:name w:val="annotation subject"/>
    <w:basedOn w:val="CommentText"/>
    <w:next w:val="CommentText"/>
    <w:semiHidden/>
    <w:rPr>
      <w:b/>
      <w:bCs/>
      <w:sz w:val="20"/>
      <w:szCs w:val="20"/>
    </w:rPr>
  </w:style>
  <w:style w:type="character" w:styleId="FollowedHyperlink">
    <w:name w:val="FollowedHyperlink"/>
    <w:basedOn w:val="DefaultParagraphFont"/>
    <w:rPr>
      <w:color w:val="800080"/>
      <w:u w:val="single"/>
    </w:rPr>
  </w:style>
</w:styles>
</file>

<file path=word/webSettings.xml><?xml version="1.0" encoding="utf-8"?>
<w:webSettings xmlns:r="http://schemas.openxmlformats.org/officeDocument/2006/relationships" xmlns:w="http://schemas.openxmlformats.org/wordprocessingml/2006/main">
  <w:divs>
    <w:div w:id="373231981">
      <w:bodyDiv w:val="1"/>
      <w:marLeft w:val="0"/>
      <w:marRight w:val="0"/>
      <w:marTop w:val="0"/>
      <w:marBottom w:val="0"/>
      <w:divBdr>
        <w:top w:val="none" w:sz="0" w:space="0" w:color="auto"/>
        <w:left w:val="none" w:sz="0" w:space="0" w:color="auto"/>
        <w:bottom w:val="none" w:sz="0" w:space="0" w:color="auto"/>
        <w:right w:val="none" w:sz="0" w:space="0" w:color="auto"/>
      </w:divBdr>
      <w:divsChild>
        <w:div w:id="310211469">
          <w:marLeft w:val="0"/>
          <w:marRight w:val="0"/>
          <w:marTop w:val="0"/>
          <w:marBottom w:val="0"/>
          <w:divBdr>
            <w:top w:val="none" w:sz="0" w:space="0" w:color="auto"/>
            <w:left w:val="none" w:sz="0" w:space="0" w:color="auto"/>
            <w:bottom w:val="none" w:sz="0" w:space="0" w:color="auto"/>
            <w:right w:val="none" w:sz="0" w:space="0" w:color="auto"/>
          </w:divBdr>
          <w:divsChild>
            <w:div w:id="19885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5715">
      <w:bodyDiv w:val="1"/>
      <w:marLeft w:val="0"/>
      <w:marRight w:val="0"/>
      <w:marTop w:val="0"/>
      <w:marBottom w:val="0"/>
      <w:divBdr>
        <w:top w:val="none" w:sz="0" w:space="0" w:color="auto"/>
        <w:left w:val="none" w:sz="0" w:space="0" w:color="auto"/>
        <w:bottom w:val="none" w:sz="0" w:space="0" w:color="auto"/>
        <w:right w:val="none" w:sz="0" w:space="0" w:color="auto"/>
      </w:divBdr>
      <w:divsChild>
        <w:div w:id="508255731">
          <w:marLeft w:val="0"/>
          <w:marRight w:val="0"/>
          <w:marTop w:val="0"/>
          <w:marBottom w:val="0"/>
          <w:divBdr>
            <w:top w:val="none" w:sz="0" w:space="0" w:color="auto"/>
            <w:left w:val="none" w:sz="0" w:space="0" w:color="auto"/>
            <w:bottom w:val="none" w:sz="0" w:space="0" w:color="auto"/>
            <w:right w:val="none" w:sz="0" w:space="0" w:color="auto"/>
          </w:divBdr>
          <w:divsChild>
            <w:div w:id="18955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813">
      <w:bodyDiv w:val="1"/>
      <w:marLeft w:val="0"/>
      <w:marRight w:val="0"/>
      <w:marTop w:val="0"/>
      <w:marBottom w:val="0"/>
      <w:divBdr>
        <w:top w:val="none" w:sz="0" w:space="0" w:color="auto"/>
        <w:left w:val="none" w:sz="0" w:space="0" w:color="auto"/>
        <w:bottom w:val="none" w:sz="0" w:space="0" w:color="auto"/>
        <w:right w:val="none" w:sz="0" w:space="0" w:color="auto"/>
      </w:divBdr>
      <w:divsChild>
        <w:div w:id="17315083">
          <w:marLeft w:val="0"/>
          <w:marRight w:val="0"/>
          <w:marTop w:val="0"/>
          <w:marBottom w:val="0"/>
          <w:divBdr>
            <w:top w:val="none" w:sz="0" w:space="0" w:color="auto"/>
            <w:left w:val="none" w:sz="0" w:space="0" w:color="auto"/>
            <w:bottom w:val="none" w:sz="0" w:space="0" w:color="auto"/>
            <w:right w:val="none" w:sz="0" w:space="0" w:color="auto"/>
          </w:divBdr>
          <w:divsChild>
            <w:div w:id="481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rosoft.com/s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emel\Application%20Data\Microsoft\Templates\CE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7454F-ECFE-4938-835F-C874EA3C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CEP_Template</Template>
  <TotalTime>1</TotalTime>
  <Pages>4</Pages>
  <Words>1386</Words>
  <Characters>7901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Large Asian Sports Media Firm Ensures Full Compliance with Licensing Requirements</vt:lpstr>
    </vt:vector>
  </TitlesOfParts>
  <Company>WriteImage</Company>
  <LinksUpToDate>false</LinksUpToDate>
  <CharactersWithSpaces>9269</CharactersWithSpaces>
  <SharedDoc>false</SharedDoc>
  <HLinks>
    <vt:vector size="24" baseType="variant">
      <vt:variant>
        <vt:i4>4259921</vt:i4>
      </vt:variant>
      <vt:variant>
        <vt:i4>0</vt:i4>
      </vt:variant>
      <vt:variant>
        <vt:i4>0</vt:i4>
      </vt:variant>
      <vt:variant>
        <vt:i4>5</vt:i4>
      </vt:variant>
      <vt:variant>
        <vt:lpwstr>http://www.microsoft.com/sam</vt:lpwstr>
      </vt:variant>
      <vt:variant>
        <vt:lpwstr/>
      </vt:variant>
      <vt:variant>
        <vt:i4>4063357</vt:i4>
      </vt:variant>
      <vt:variant>
        <vt:i4>6</vt:i4>
      </vt:variant>
      <vt:variant>
        <vt:i4>0</vt:i4>
      </vt:variant>
      <vt:variant>
        <vt:i4>5</vt:i4>
      </vt:variant>
      <vt:variant>
        <vt:lpwstr>http://www.worldsportgroup.com/</vt:lpwstr>
      </vt:variant>
      <vt:variant>
        <vt:lpwstr/>
      </vt:variant>
      <vt:variant>
        <vt:i4>5701644</vt:i4>
      </vt:variant>
      <vt:variant>
        <vt:i4>3</vt:i4>
      </vt:variant>
      <vt:variant>
        <vt:i4>0</vt:i4>
      </vt:variant>
      <vt:variant>
        <vt:i4>5</vt:i4>
      </vt:variant>
      <vt:variant>
        <vt:lpwstr>http://www.tecbizfrisman.com/</vt:lpwstr>
      </vt:variant>
      <vt:variant>
        <vt:lpwstr/>
      </vt:variant>
      <vt:variant>
        <vt:i4>6225951</vt:i4>
      </vt:variant>
      <vt:variant>
        <vt:i4>0</vt:i4>
      </vt:variant>
      <vt:variant>
        <vt:i4>0</vt:i4>
      </vt:variant>
      <vt:variant>
        <vt:i4>5</vt:i4>
      </vt:variant>
      <vt:variant>
        <vt:lpwstr>http://www.microsoft.com/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Asian Sports Media Firm Ensures Full Compliance with Licensing Requirements</dc:title>
  <dc:subject/>
  <dc:creator> Microsoft Corporation</dc:creator>
  <cp:keywords/>
  <dc:description/>
  <cp:lastModifiedBy>Lisa </cp:lastModifiedBy>
  <cp:revision>2</cp:revision>
  <cp:lastPrinted>2003-07-11T07:36:00Z</cp:lastPrinted>
  <dcterms:created xsi:type="dcterms:W3CDTF">2007-04-24T05:14:00Z</dcterms:created>
  <dcterms:modified xsi:type="dcterms:W3CDTF">2007-04-24T05:14:00Z</dcterms:modified>
  <cp:category/>
</cp:coreProperties>
</file>