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F" w:rsidRDefault="00A62BD2" w:rsidP="00EC766F">
      <w:pPr>
        <w:spacing w:before="480"/>
        <w:ind w:left="-567" w:right="-567"/>
        <w:jc w:val="right"/>
        <w:outlineLvl w:val="0"/>
        <w:rPr>
          <w:noProof/>
        </w:rPr>
      </w:pPr>
      <w:r>
        <w:rPr>
          <w:noProof/>
        </w:rPr>
        <w:pict>
          <v:rect id="_x0000_s1027" style="position:absolute;left:0;text-align:left;margin-left:-1in;margin-top:12pt;width:612pt;height:93.75pt;z-index:-251658752" fillcolor="#4f81bd [3204]" strokecolor="#f2f2f2 [3041]" strokeweight="3pt">
            <v:shadow on="t" type="perspective" color="#243f60 [1604]" opacity=".5" offset="1pt" offset2="-1pt"/>
          </v:rect>
        </w:pict>
      </w:r>
    </w:p>
    <w:p w:rsidR="00EC766F" w:rsidRDefault="002E637B" w:rsidP="00EC766F">
      <w:pPr>
        <w:spacing w:before="480"/>
        <w:ind w:left="-567" w:right="-567"/>
        <w:jc w:val="right"/>
        <w:outlineLvl w:val="0"/>
        <w:rPr>
          <w:noProof/>
        </w:rPr>
      </w:pPr>
      <w:r>
        <w:rPr>
          <w:noProof/>
          <w:lang w:eastAsia="en-US" w:bidi="ar-SA"/>
        </w:rPr>
        <w:drawing>
          <wp:inline distT="0" distB="0" distL="0" distR="0">
            <wp:extent cx="4286250" cy="314325"/>
            <wp:effectExtent l="0" t="0" r="0" b="0"/>
            <wp:docPr id="11" name="Picture 0" descr="ms_logo_with-ddctk-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ogo_with-ddctk-v3.png"/>
                    <pic:cNvPicPr/>
                  </pic:nvPicPr>
                  <pic:blipFill>
                    <a:blip r:embed="rId11" cstate="print"/>
                    <a:stretch>
                      <a:fillRect/>
                    </a:stretch>
                  </pic:blipFill>
                  <pic:spPr>
                    <a:xfrm>
                      <a:off x="0" y="0"/>
                      <a:ext cx="4286250" cy="314325"/>
                    </a:xfrm>
                    <a:prstGeom prst="rect">
                      <a:avLst/>
                    </a:prstGeom>
                  </pic:spPr>
                </pic:pic>
              </a:graphicData>
            </a:graphic>
          </wp:inline>
        </w:drawing>
      </w:r>
    </w:p>
    <w:p w:rsidR="00EC766F" w:rsidRDefault="00EC766F" w:rsidP="00EC766F">
      <w:pPr>
        <w:spacing w:before="480"/>
        <w:ind w:left="-567" w:right="-567"/>
        <w:jc w:val="right"/>
        <w:outlineLvl w:val="0"/>
        <w:rPr>
          <w:noProof/>
        </w:rPr>
      </w:pPr>
    </w:p>
    <w:p w:rsidR="00B24EBB" w:rsidRDefault="00A62BD2" w:rsidP="00EC766F">
      <w:pPr>
        <w:spacing w:before="480"/>
        <w:ind w:left="-567" w:right="-567"/>
        <w:jc w:val="right"/>
        <w:outlineLvl w:val="0"/>
        <w:rPr>
          <w:sz w:val="44"/>
          <w:szCs w:val="44"/>
        </w:rPr>
      </w:pPr>
      <w:r>
        <w:fldChar w:fldCharType="begin"/>
      </w:r>
      <w:r w:rsidR="00097466">
        <w:instrText xml:space="preserve"> TITLE   \* MERGEFORMAT </w:instrText>
      </w:r>
      <w:r>
        <w:fldChar w:fldCharType="separate"/>
      </w:r>
      <w:bookmarkStart w:id="0" w:name="_Toc234056640"/>
      <w:bookmarkStart w:id="1" w:name="_Toc234056602"/>
      <w:r w:rsidR="0056008D">
        <w:rPr>
          <w:sz w:val="44"/>
          <w:szCs w:val="44"/>
        </w:rPr>
        <w:t>Dynamic Data Center</w:t>
      </w:r>
      <w:bookmarkEnd w:id="0"/>
      <w:bookmarkEnd w:id="1"/>
    </w:p>
    <w:p w:rsidR="001232D2" w:rsidRPr="000318FD" w:rsidRDefault="00466033" w:rsidP="00EC766F">
      <w:pPr>
        <w:spacing w:before="480"/>
        <w:ind w:left="-567" w:right="-567"/>
        <w:jc w:val="right"/>
        <w:outlineLvl w:val="0"/>
        <w:rPr>
          <w:sz w:val="44"/>
          <w:szCs w:val="44"/>
        </w:rPr>
      </w:pPr>
      <w:bookmarkStart w:id="2" w:name="_Toc234056603"/>
      <w:bookmarkStart w:id="3" w:name="_Toc234056641"/>
      <w:r>
        <w:rPr>
          <w:sz w:val="44"/>
          <w:szCs w:val="44"/>
        </w:rPr>
        <w:t>Guidance</w:t>
      </w:r>
      <w:r w:rsidR="0056008D">
        <w:rPr>
          <w:sz w:val="44"/>
          <w:szCs w:val="44"/>
        </w:rPr>
        <w:t xml:space="preserve"> </w:t>
      </w:r>
      <w:r w:rsidR="00B24EBB">
        <w:rPr>
          <w:sz w:val="44"/>
          <w:szCs w:val="44"/>
        </w:rPr>
        <w:t>f</w:t>
      </w:r>
      <w:r w:rsidR="0056008D">
        <w:rPr>
          <w:sz w:val="44"/>
          <w:szCs w:val="44"/>
        </w:rPr>
        <w:t>or Host</w:t>
      </w:r>
      <w:r w:rsidR="00B24EBB">
        <w:rPr>
          <w:sz w:val="44"/>
          <w:szCs w:val="44"/>
        </w:rPr>
        <w:t>ing Providers</w:t>
      </w:r>
      <w:bookmarkEnd w:id="2"/>
      <w:bookmarkEnd w:id="3"/>
      <w:r w:rsidR="00A62BD2">
        <w:fldChar w:fldCharType="end"/>
      </w:r>
    </w:p>
    <w:p w:rsidR="00D678E5" w:rsidRPr="000318FD" w:rsidRDefault="00A62BD2" w:rsidP="00D678E5">
      <w:pPr>
        <w:ind w:left="-567" w:right="-567"/>
        <w:jc w:val="right"/>
        <w:outlineLvl w:val="0"/>
        <w:rPr>
          <w:sz w:val="36"/>
          <w:szCs w:val="36"/>
        </w:rPr>
      </w:pPr>
      <w:r>
        <w:fldChar w:fldCharType="begin"/>
      </w:r>
      <w:r w:rsidR="00802FED">
        <w:instrText xml:space="preserve"> SUBJECT   \* MERGEFORMAT </w:instrText>
      </w:r>
      <w:r>
        <w:fldChar w:fldCharType="end"/>
      </w:r>
    </w:p>
    <w:p w:rsidR="00252328" w:rsidRDefault="00252328">
      <w:pPr>
        <w:spacing w:after="0"/>
        <w:rPr>
          <w:b/>
          <w:bCs/>
          <w:color w:val="333333"/>
          <w:sz w:val="28"/>
          <w:szCs w:val="28"/>
        </w:rPr>
      </w:pPr>
    </w:p>
    <w:p w:rsidR="002E637B" w:rsidRDefault="002E637B">
      <w:pPr>
        <w:spacing w:after="0"/>
        <w:rPr>
          <w:b/>
          <w:bCs/>
          <w:color w:val="333333"/>
          <w:sz w:val="28"/>
          <w:szCs w:val="28"/>
        </w:rPr>
      </w:pPr>
      <w:r>
        <w:rPr>
          <w:b/>
          <w:bCs/>
          <w:color w:val="333333"/>
          <w:sz w:val="28"/>
          <w:szCs w:val="28"/>
        </w:rPr>
        <w:br w:type="page"/>
      </w:r>
    </w:p>
    <w:p w:rsidR="00252328" w:rsidRDefault="00252328" w:rsidP="00504A10"/>
    <w:p w:rsidR="00252328" w:rsidRDefault="00252328" w:rsidP="00504A10"/>
    <w:p w:rsidR="00252328" w:rsidRDefault="00252328" w:rsidP="00504A10"/>
    <w:p w:rsidR="00670200" w:rsidRDefault="00670200" w:rsidP="00670200">
      <w:pPr>
        <w:rPr>
          <w:sz w:val="16"/>
          <w:szCs w:val="16"/>
        </w:rPr>
      </w:pPr>
      <w:r>
        <w:rPr>
          <w:sz w:val="16"/>
          <w:szCs w:val="16"/>
        </w:rPr>
        <w:t>© 200</w:t>
      </w:r>
      <w:r w:rsidR="00CA1F0F">
        <w:rPr>
          <w:sz w:val="16"/>
          <w:szCs w:val="16"/>
        </w:rPr>
        <w:t>9</w:t>
      </w:r>
      <w:r>
        <w:rPr>
          <w:sz w:val="16"/>
          <w:szCs w:val="16"/>
        </w:rPr>
        <w:t xml:space="preserve"> Microsoft Corporation. All rights reserved. The information contained in this document represents the current view of Microsoft Corporation on the issues discussed as of the date of publication and is subject to change at any time without notice to you. This document and its contents are provided AS IS without warranty of any kind, and should not be interpreted as an offer or commitment on the part of Microsoft, and Microsoft cannot guarantee the accuracy of any information presented. MICROSOFT MAKES NO WARRANTIES, EXPRESS OR IMPLIED, IN THIS DOCUMENT.</w:t>
      </w:r>
    </w:p>
    <w:p w:rsidR="00670200" w:rsidRDefault="00670200" w:rsidP="00670200">
      <w:pPr>
        <w:rPr>
          <w:sz w:val="16"/>
          <w:szCs w:val="16"/>
        </w:rPr>
      </w:pPr>
      <w:r>
        <w:rPr>
          <w:sz w:val="16"/>
          <w:szCs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70200" w:rsidRDefault="00670200" w:rsidP="00670200">
      <w:pPr>
        <w:rPr>
          <w:sz w:val="16"/>
          <w:szCs w:val="16"/>
        </w:rPr>
      </w:pPr>
      <w:r>
        <w:rPr>
          <w:sz w:val="16"/>
          <w:szCs w:val="16"/>
        </w:rPr>
        <w:t xml:space="preserve">Microsoft may have patents, patent applications, trademarks, copyrights, or other intellectual property rights covering subject matter in this document. </w:t>
      </w:r>
      <w:proofErr w:type="gramStart"/>
      <w:r>
        <w:rPr>
          <w:sz w:val="16"/>
          <w:szCs w:val="16"/>
        </w:rPr>
        <w:t>Except as expressly provided in any written license agreement from Microsoft, the furnishing of this document does not give you any license to these patents, trademarks, copyrights, or other intellectual property.</w:t>
      </w:r>
      <w:proofErr w:type="gramEnd"/>
      <w:r>
        <w:rPr>
          <w:sz w:val="16"/>
          <w:szCs w:val="16"/>
        </w:rPr>
        <w:t xml:space="preserve"> </w:t>
      </w:r>
    </w:p>
    <w:p w:rsidR="00670200" w:rsidRDefault="00670200" w:rsidP="00670200">
      <w:pPr>
        <w:rPr>
          <w:sz w:val="16"/>
          <w:szCs w:val="16"/>
        </w:rPr>
      </w:pPr>
      <w:r>
        <w:rPr>
          <w:sz w:val="16"/>
          <w:szCs w:val="16"/>
        </w:rPr>
        <w:t xml:space="preserve">Microsoft, </w:t>
      </w:r>
      <w:r w:rsidR="00CA1F0F">
        <w:rPr>
          <w:sz w:val="16"/>
          <w:szCs w:val="16"/>
        </w:rPr>
        <w:t xml:space="preserve">Active Directory, </w:t>
      </w:r>
      <w:r>
        <w:rPr>
          <w:sz w:val="16"/>
          <w:szCs w:val="16"/>
        </w:rPr>
        <w:t xml:space="preserve">Hyper-V, </w:t>
      </w:r>
      <w:r w:rsidR="001B1973">
        <w:rPr>
          <w:sz w:val="16"/>
          <w:szCs w:val="16"/>
        </w:rPr>
        <w:t xml:space="preserve">Silverlight, </w:t>
      </w:r>
      <w:r>
        <w:rPr>
          <w:sz w:val="16"/>
          <w:szCs w:val="16"/>
        </w:rPr>
        <w:t xml:space="preserve">SQL Server, </w:t>
      </w:r>
      <w:r w:rsidR="00CA1F0F">
        <w:rPr>
          <w:sz w:val="16"/>
          <w:szCs w:val="16"/>
        </w:rPr>
        <w:t xml:space="preserve">Windows, Windows </w:t>
      </w:r>
      <w:proofErr w:type="spellStart"/>
      <w:r w:rsidR="00CA1F0F">
        <w:rPr>
          <w:sz w:val="16"/>
          <w:szCs w:val="16"/>
        </w:rPr>
        <w:t>Powershell</w:t>
      </w:r>
      <w:proofErr w:type="spellEnd"/>
      <w:r w:rsidR="00CA1F0F">
        <w:rPr>
          <w:sz w:val="16"/>
          <w:szCs w:val="16"/>
        </w:rPr>
        <w:t xml:space="preserve">, </w:t>
      </w:r>
      <w:r>
        <w:rPr>
          <w:sz w:val="16"/>
          <w:szCs w:val="16"/>
        </w:rPr>
        <w:t>and Windows Server are trademarks of the Microsoft group of companies.</w:t>
      </w:r>
    </w:p>
    <w:p w:rsidR="00670200" w:rsidRDefault="00670200" w:rsidP="00670200">
      <w:pPr>
        <w:rPr>
          <w:sz w:val="16"/>
          <w:szCs w:val="16"/>
        </w:rPr>
      </w:pPr>
      <w:r>
        <w:rPr>
          <w:sz w:val="16"/>
          <w:szCs w:val="16"/>
        </w:rPr>
        <w:t>All other trademarks are property of their respective owners.</w:t>
      </w:r>
    </w:p>
    <w:p w:rsidR="00670200" w:rsidRDefault="00670200" w:rsidP="00670200">
      <w:pPr>
        <w:rPr>
          <w:sz w:val="16"/>
          <w:szCs w:val="16"/>
        </w:rPr>
      </w:pPr>
      <w:r>
        <w:rPr>
          <w:sz w:val="16"/>
          <w:szCs w:val="16"/>
        </w:rPr>
        <w:t>The descriptions of other companies’ products in this document, if any, are provided only as a convenience to you. Any such references should not be considered an endorsement or support by Microsoft. Microsoft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rsidR="00252328" w:rsidRPr="00596516" w:rsidRDefault="00670200" w:rsidP="00504A10">
      <w:pPr>
        <w:rPr>
          <w:sz w:val="16"/>
          <w:szCs w:val="16"/>
        </w:rPr>
      </w:pPr>
      <w:r>
        <w:rPr>
          <w:sz w:val="16"/>
          <w:szCs w:val="16"/>
        </w:rPr>
        <w:t>Microsoft will not knowingly provide advice that conflicts with local, regional, or international laws; however, it is your responsibility to confirm that your implementation of any advice is in accordance with all applicable laws.</w:t>
      </w:r>
    </w:p>
    <w:p w:rsidR="00252328" w:rsidRDefault="00252328" w:rsidP="00504A10"/>
    <w:p w:rsidR="00252328" w:rsidRPr="00252328" w:rsidRDefault="00252328" w:rsidP="00504A10">
      <w:pPr>
        <w:sectPr w:rsidR="00252328" w:rsidRPr="00252328" w:rsidSect="0022147D">
          <w:headerReference w:type="even" r:id="rId12"/>
          <w:headerReference w:type="default" r:id="rId13"/>
          <w:footerReference w:type="even" r:id="rId14"/>
          <w:footerReference w:type="default" r:id="rId15"/>
          <w:headerReference w:type="first" r:id="rId16"/>
          <w:footerReference w:type="first" r:id="rId17"/>
          <w:pgSz w:w="12240" w:h="15840" w:code="9"/>
          <w:pgMar w:top="1440" w:right="1440" w:bottom="1440" w:left="1440" w:header="709" w:footer="567" w:gutter="0"/>
          <w:cols w:space="708"/>
          <w:docGrid w:linePitch="360"/>
        </w:sectPr>
      </w:pPr>
    </w:p>
    <w:p w:rsidR="00317903" w:rsidRDefault="008F178B" w:rsidP="00317903">
      <w:pPr>
        <w:pStyle w:val="NumHeading1"/>
      </w:pPr>
      <w:bookmarkStart w:id="4" w:name="bmBodyStart"/>
      <w:bookmarkStart w:id="5" w:name="_Toc234056383"/>
      <w:bookmarkStart w:id="6" w:name="_Toc234056643"/>
      <w:bookmarkEnd w:id="4"/>
      <w:r w:rsidRPr="00814FFE">
        <w:lastRenderedPageBreak/>
        <w:t>Introduction</w:t>
      </w:r>
      <w:bookmarkEnd w:id="5"/>
      <w:bookmarkEnd w:id="6"/>
    </w:p>
    <w:p w:rsidR="007F6686" w:rsidRPr="00887855" w:rsidRDefault="007F6686" w:rsidP="00596516">
      <w:r w:rsidRPr="00887855">
        <w:t>A Dynamic Data Center</w:t>
      </w:r>
      <w:r w:rsidR="00317903" w:rsidRPr="00887855">
        <w:t xml:space="preserve"> (DDC) is a combination of automation, control, and resource management software with a well-defined topology of servers, storage, and networking hardware. The concepts of DDCs have existed for several years, and the industry has made tremendous progress in terms of automating and managing the data centers. The availability of the Hyper-V</w:t>
      </w:r>
      <w:r w:rsidR="00317903" w:rsidRPr="00887855">
        <w:rPr>
          <w:rFonts w:cs="Arial"/>
        </w:rPr>
        <w:t>™</w:t>
      </w:r>
      <w:r w:rsidR="00317903" w:rsidRPr="00887855">
        <w:t xml:space="preserve"> hypervisor in Windows Server</w:t>
      </w:r>
      <w:r w:rsidR="005011E7" w:rsidRPr="00596516">
        <w:t>®</w:t>
      </w:r>
      <w:r w:rsidR="00317903" w:rsidRPr="00887855">
        <w:t xml:space="preserve"> 2008 and the System Center Server Management Suite Enterprise has made creating a Dynamic Data Center an achievable goal.</w:t>
      </w:r>
    </w:p>
    <w:p w:rsidR="007F6686" w:rsidRPr="00887855" w:rsidRDefault="00317903" w:rsidP="00596516">
      <w:r w:rsidRPr="00887855">
        <w:t>The convergence of Advanced Virtualized Processor technology from Intel and AMD, combined with Windows Server 2008, has made virtualization a mainstream technology that is affordable by a broader market. This explosive growth, if not planned properly, could cause management problems that result in customer satisfaction issues and drive the costs higher.</w:t>
      </w:r>
    </w:p>
    <w:p w:rsidR="007F6686" w:rsidRPr="00887855" w:rsidRDefault="00317903" w:rsidP="00596516">
      <w:r w:rsidRPr="00887855">
        <w:t>Because of the diversity of application usages that customers will have for a DDC, it is impossible to define a single, general-purpose configuration that fits all needs. Therefore, Microsoft provides a set of guidelines and basic building blocks based on its product offerings that will help the hosting provider</w:t>
      </w:r>
      <w:r w:rsidR="008E08C3" w:rsidRPr="00887855">
        <w:t>s create a Dynamic Data Center.</w:t>
      </w:r>
    </w:p>
    <w:p w:rsidR="00E475CC" w:rsidRDefault="00E475CC" w:rsidP="007F6686">
      <w:pPr>
        <w:pStyle w:val="BodyText"/>
      </w:pPr>
      <w:r w:rsidRPr="00E475CC">
        <w:rPr>
          <w:noProof/>
        </w:rPr>
        <w:drawing>
          <wp:inline distT="0" distB="0" distL="0" distR="0">
            <wp:extent cx="5943600" cy="3612515"/>
            <wp:effectExtent l="19050" t="0" r="0" b="0"/>
            <wp:docPr id="1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685800" y="1066800"/>
                      <a:chExt cx="7772400" cy="4724400"/>
                    </a:xfrm>
                  </a:grpSpPr>
                  <a:sp>
                    <a:nvSpPr>
                      <a:cNvPr id="6" name="Rounded Rectangle 5"/>
                      <a:cNvSpPr/>
                    </a:nvSpPr>
                    <a:spPr bwMode="auto">
                      <a:xfrm>
                        <a:off x="685800" y="1752600"/>
                        <a:ext cx="7772400" cy="27432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dk1"/>
                              </a:solidFill>
                              <a:latin typeface="+mn-lt"/>
                              <a:ea typeface="+mn-ea"/>
                              <a:cs typeface="+mn-cs"/>
                            </a:defRPr>
                          </a:lvl1pPr>
                          <a:lvl2pPr marL="457135" algn="l" rtl="0" eaLnBrk="0" fontAlgn="base" hangingPunct="0">
                            <a:spcBef>
                              <a:spcPct val="0"/>
                            </a:spcBef>
                            <a:spcAft>
                              <a:spcPct val="0"/>
                            </a:spcAft>
                            <a:defRPr sz="2000" b="1" kern="1200">
                              <a:solidFill>
                                <a:schemeClr val="dk1"/>
                              </a:solidFill>
                              <a:latin typeface="+mn-lt"/>
                              <a:ea typeface="+mn-ea"/>
                              <a:cs typeface="+mn-cs"/>
                            </a:defRPr>
                          </a:lvl2pPr>
                          <a:lvl3pPr marL="914269" algn="l" rtl="0" eaLnBrk="0" fontAlgn="base" hangingPunct="0">
                            <a:spcBef>
                              <a:spcPct val="0"/>
                            </a:spcBef>
                            <a:spcAft>
                              <a:spcPct val="0"/>
                            </a:spcAft>
                            <a:defRPr sz="2000" b="1" kern="1200">
                              <a:solidFill>
                                <a:schemeClr val="dk1"/>
                              </a:solidFill>
                              <a:latin typeface="+mn-lt"/>
                              <a:ea typeface="+mn-ea"/>
                              <a:cs typeface="+mn-cs"/>
                            </a:defRPr>
                          </a:lvl3pPr>
                          <a:lvl4pPr marL="1371404" algn="l" rtl="0" eaLnBrk="0" fontAlgn="base" hangingPunct="0">
                            <a:spcBef>
                              <a:spcPct val="0"/>
                            </a:spcBef>
                            <a:spcAft>
                              <a:spcPct val="0"/>
                            </a:spcAft>
                            <a:defRPr sz="2000" b="1" kern="1200">
                              <a:solidFill>
                                <a:schemeClr val="dk1"/>
                              </a:solidFill>
                              <a:latin typeface="+mn-lt"/>
                              <a:ea typeface="+mn-ea"/>
                              <a:cs typeface="+mn-cs"/>
                            </a:defRPr>
                          </a:lvl4pPr>
                          <a:lvl5pPr marL="1828539" algn="l" rtl="0" eaLnBrk="0" fontAlgn="base" hangingPunct="0">
                            <a:spcBef>
                              <a:spcPct val="0"/>
                            </a:spcBef>
                            <a:spcAft>
                              <a:spcPct val="0"/>
                            </a:spcAft>
                            <a:defRPr sz="2000" b="1" kern="1200">
                              <a:solidFill>
                                <a:schemeClr val="dk1"/>
                              </a:solidFill>
                              <a:latin typeface="+mn-lt"/>
                              <a:ea typeface="+mn-ea"/>
                              <a:cs typeface="+mn-cs"/>
                            </a:defRPr>
                          </a:lvl5pPr>
                          <a:lvl6pPr marL="2285674" algn="l" defTabSz="914269" rtl="0" eaLnBrk="1" latinLnBrk="0" hangingPunct="1">
                            <a:defRPr sz="2000" b="1" kern="1200">
                              <a:solidFill>
                                <a:schemeClr val="dk1"/>
                              </a:solidFill>
                              <a:latin typeface="+mn-lt"/>
                              <a:ea typeface="+mn-ea"/>
                              <a:cs typeface="+mn-cs"/>
                            </a:defRPr>
                          </a:lvl6pPr>
                          <a:lvl7pPr marL="2742809" algn="l" defTabSz="914269" rtl="0" eaLnBrk="1" latinLnBrk="0" hangingPunct="1">
                            <a:defRPr sz="2000" b="1" kern="1200">
                              <a:solidFill>
                                <a:schemeClr val="dk1"/>
                              </a:solidFill>
                              <a:latin typeface="+mn-lt"/>
                              <a:ea typeface="+mn-ea"/>
                              <a:cs typeface="+mn-cs"/>
                            </a:defRPr>
                          </a:lvl7pPr>
                          <a:lvl8pPr marL="3199944" algn="l" defTabSz="914269" rtl="0" eaLnBrk="1" latinLnBrk="0" hangingPunct="1">
                            <a:defRPr sz="2000" b="1" kern="1200">
                              <a:solidFill>
                                <a:schemeClr val="dk1"/>
                              </a:solidFill>
                              <a:latin typeface="+mn-lt"/>
                              <a:ea typeface="+mn-ea"/>
                              <a:cs typeface="+mn-cs"/>
                            </a:defRPr>
                          </a:lvl8pPr>
                          <a:lvl9pPr marL="3657078" algn="l" defTabSz="914269" rtl="0" eaLnBrk="1" latinLnBrk="0" hangingPunct="1">
                            <a:defRPr sz="2000" b="1"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2000" b="1" i="0" u="none" strike="noStrike" cap="none" normalizeH="0" baseline="0" smtClean="0">
                            <a:ln>
                              <a:noFill/>
                            </a:ln>
                            <a:solidFill>
                              <a:schemeClr val="tx1"/>
                            </a:solidFill>
                            <a:effectLst/>
                            <a:latin typeface="Arial" charset="0"/>
                          </a:endParaRPr>
                        </a:p>
                      </a:txBody>
                      <a:useSpRect/>
                    </a:txSp>
                    <a:style>
                      <a:lnRef idx="2">
                        <a:schemeClr val="accent4"/>
                      </a:lnRef>
                      <a:fillRef idx="1">
                        <a:schemeClr val="lt1"/>
                      </a:fillRef>
                      <a:effectRef idx="0">
                        <a:schemeClr val="accent4"/>
                      </a:effectRef>
                      <a:fontRef idx="minor">
                        <a:schemeClr val="dk1"/>
                      </a:fontRef>
                    </a:style>
                  </a:sp>
                  <a:pic>
                    <a:nvPicPr>
                      <a:cNvPr id="5" name="Picture 4" descr="WS08-HypeV_v_rgb.png"/>
                      <a:cNvPicPr>
                        <a:picLocks noChangeAspect="1"/>
                      </a:cNvPicPr>
                    </a:nvPicPr>
                    <a:blipFill>
                      <a:blip r:embed="rId18"/>
                      <a:stretch>
                        <a:fillRect/>
                      </a:stretch>
                    </a:blipFill>
                    <a:spPr>
                      <a:xfrm>
                        <a:off x="838200" y="3276600"/>
                        <a:ext cx="2121377" cy="914400"/>
                      </a:xfrm>
                      <a:prstGeom prst="rect">
                        <a:avLst/>
                      </a:prstGeom>
                    </a:spPr>
                  </a:pic>
                  <a:pic>
                    <a:nvPicPr>
                      <a:cNvPr id="9" name="Picture 8" descr="botbar_servvirt_icon.png"/>
                      <a:cNvPicPr>
                        <a:picLocks noChangeAspect="1"/>
                      </a:cNvPicPr>
                    </a:nvPicPr>
                    <a:blipFill>
                      <a:blip r:embed="rId19"/>
                      <a:stretch>
                        <a:fillRect/>
                      </a:stretch>
                    </a:blipFill>
                    <a:spPr>
                      <a:xfrm>
                        <a:off x="4914900" y="3810000"/>
                        <a:ext cx="571500" cy="510268"/>
                      </a:xfrm>
                      <a:prstGeom prst="rect">
                        <a:avLst/>
                      </a:prstGeom>
                      <a:ln>
                        <a:noFill/>
                      </a:ln>
                      <a:effectLst>
                        <a:outerShdw blurRad="292100" dist="139700" dir="2700000" algn="tl" rotWithShape="0">
                          <a:srgbClr val="333333">
                            <a:alpha val="65000"/>
                          </a:srgbClr>
                        </a:outerShdw>
                      </a:effectLst>
                    </a:spPr>
                  </a:pic>
                  <a:pic>
                    <a:nvPicPr>
                      <a:cNvPr id="10" name="Picture 9" descr="botbar_servvirt_icon.png"/>
                      <a:cNvPicPr>
                        <a:picLocks noChangeAspect="1"/>
                      </a:cNvPicPr>
                    </a:nvPicPr>
                    <a:blipFill>
                      <a:blip r:embed="rId19"/>
                      <a:stretch>
                        <a:fillRect/>
                      </a:stretch>
                    </a:blipFill>
                    <a:spPr>
                      <a:xfrm>
                        <a:off x="6038850" y="3810000"/>
                        <a:ext cx="571500" cy="510268"/>
                      </a:xfrm>
                      <a:prstGeom prst="rect">
                        <a:avLst/>
                      </a:prstGeom>
                      <a:ln>
                        <a:noFill/>
                      </a:ln>
                      <a:effectLst>
                        <a:outerShdw blurRad="292100" dist="139700" dir="2700000" algn="tl" rotWithShape="0">
                          <a:srgbClr val="333333">
                            <a:alpha val="65000"/>
                          </a:srgbClr>
                        </a:outerShdw>
                      </a:effectLst>
                    </a:spPr>
                  </a:pic>
                  <a:pic>
                    <a:nvPicPr>
                      <a:cNvPr id="11" name="Picture 10" descr="botbar_servvirt_icon.png"/>
                      <a:cNvPicPr>
                        <a:picLocks noChangeAspect="1"/>
                      </a:cNvPicPr>
                    </a:nvPicPr>
                    <a:blipFill>
                      <a:blip r:embed="rId19"/>
                      <a:stretch>
                        <a:fillRect/>
                      </a:stretch>
                    </a:blipFill>
                    <a:spPr>
                      <a:xfrm>
                        <a:off x="7162800" y="3810000"/>
                        <a:ext cx="571500" cy="510268"/>
                      </a:xfrm>
                      <a:prstGeom prst="rect">
                        <a:avLst/>
                      </a:prstGeom>
                      <a:ln>
                        <a:noFill/>
                      </a:ln>
                      <a:effectLst>
                        <a:outerShdw blurRad="292100" dist="139700" dir="2700000" algn="tl" rotWithShape="0">
                          <a:srgbClr val="333333">
                            <a:alpha val="65000"/>
                          </a:srgbClr>
                        </a:outerShdw>
                      </a:effectLst>
                    </a:spPr>
                  </a:pic>
                  <a:sp>
                    <a:nvSpPr>
                      <a:cNvPr id="12" name="Rounded Rectangle 11"/>
                      <a:cNvSpPr/>
                    </a:nvSpPr>
                    <a:spPr bwMode="auto">
                      <a:xfrm>
                        <a:off x="685800" y="4572000"/>
                        <a:ext cx="7772400" cy="11430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dk1"/>
                              </a:solidFill>
                              <a:latin typeface="+mn-lt"/>
                              <a:ea typeface="+mn-ea"/>
                              <a:cs typeface="+mn-cs"/>
                            </a:defRPr>
                          </a:lvl1pPr>
                          <a:lvl2pPr marL="457135" algn="l" rtl="0" eaLnBrk="0" fontAlgn="base" hangingPunct="0">
                            <a:spcBef>
                              <a:spcPct val="0"/>
                            </a:spcBef>
                            <a:spcAft>
                              <a:spcPct val="0"/>
                            </a:spcAft>
                            <a:defRPr sz="2000" b="1" kern="1200">
                              <a:solidFill>
                                <a:schemeClr val="dk1"/>
                              </a:solidFill>
                              <a:latin typeface="+mn-lt"/>
                              <a:ea typeface="+mn-ea"/>
                              <a:cs typeface="+mn-cs"/>
                            </a:defRPr>
                          </a:lvl2pPr>
                          <a:lvl3pPr marL="914269" algn="l" rtl="0" eaLnBrk="0" fontAlgn="base" hangingPunct="0">
                            <a:spcBef>
                              <a:spcPct val="0"/>
                            </a:spcBef>
                            <a:spcAft>
                              <a:spcPct val="0"/>
                            </a:spcAft>
                            <a:defRPr sz="2000" b="1" kern="1200">
                              <a:solidFill>
                                <a:schemeClr val="dk1"/>
                              </a:solidFill>
                              <a:latin typeface="+mn-lt"/>
                              <a:ea typeface="+mn-ea"/>
                              <a:cs typeface="+mn-cs"/>
                            </a:defRPr>
                          </a:lvl3pPr>
                          <a:lvl4pPr marL="1371404" algn="l" rtl="0" eaLnBrk="0" fontAlgn="base" hangingPunct="0">
                            <a:spcBef>
                              <a:spcPct val="0"/>
                            </a:spcBef>
                            <a:spcAft>
                              <a:spcPct val="0"/>
                            </a:spcAft>
                            <a:defRPr sz="2000" b="1" kern="1200">
                              <a:solidFill>
                                <a:schemeClr val="dk1"/>
                              </a:solidFill>
                              <a:latin typeface="+mn-lt"/>
                              <a:ea typeface="+mn-ea"/>
                              <a:cs typeface="+mn-cs"/>
                            </a:defRPr>
                          </a:lvl4pPr>
                          <a:lvl5pPr marL="1828539" algn="l" rtl="0" eaLnBrk="0" fontAlgn="base" hangingPunct="0">
                            <a:spcBef>
                              <a:spcPct val="0"/>
                            </a:spcBef>
                            <a:spcAft>
                              <a:spcPct val="0"/>
                            </a:spcAft>
                            <a:defRPr sz="2000" b="1" kern="1200">
                              <a:solidFill>
                                <a:schemeClr val="dk1"/>
                              </a:solidFill>
                              <a:latin typeface="+mn-lt"/>
                              <a:ea typeface="+mn-ea"/>
                              <a:cs typeface="+mn-cs"/>
                            </a:defRPr>
                          </a:lvl5pPr>
                          <a:lvl6pPr marL="2285674" algn="l" defTabSz="914269" rtl="0" eaLnBrk="1" latinLnBrk="0" hangingPunct="1">
                            <a:defRPr sz="2000" b="1" kern="1200">
                              <a:solidFill>
                                <a:schemeClr val="dk1"/>
                              </a:solidFill>
                              <a:latin typeface="+mn-lt"/>
                              <a:ea typeface="+mn-ea"/>
                              <a:cs typeface="+mn-cs"/>
                            </a:defRPr>
                          </a:lvl6pPr>
                          <a:lvl7pPr marL="2742809" algn="l" defTabSz="914269" rtl="0" eaLnBrk="1" latinLnBrk="0" hangingPunct="1">
                            <a:defRPr sz="2000" b="1" kern="1200">
                              <a:solidFill>
                                <a:schemeClr val="dk1"/>
                              </a:solidFill>
                              <a:latin typeface="+mn-lt"/>
                              <a:ea typeface="+mn-ea"/>
                              <a:cs typeface="+mn-cs"/>
                            </a:defRPr>
                          </a:lvl7pPr>
                          <a:lvl8pPr marL="3199944" algn="l" defTabSz="914269" rtl="0" eaLnBrk="1" latinLnBrk="0" hangingPunct="1">
                            <a:defRPr sz="2000" b="1" kern="1200">
                              <a:solidFill>
                                <a:schemeClr val="dk1"/>
                              </a:solidFill>
                              <a:latin typeface="+mn-lt"/>
                              <a:ea typeface="+mn-ea"/>
                              <a:cs typeface="+mn-cs"/>
                            </a:defRPr>
                          </a:lvl8pPr>
                          <a:lvl9pPr marL="3657078" algn="l" defTabSz="914269" rtl="0" eaLnBrk="1" latinLnBrk="0" hangingPunct="1">
                            <a:defRPr sz="2000" b="1"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600" dirty="0" smtClean="0"/>
                            <a:t>Server, Network and Storage</a:t>
                          </a:r>
                          <a:endParaRPr kumimoji="0" lang="en-US" sz="1600" b="1" i="0" u="none" strike="noStrike" cap="none" normalizeH="0" baseline="0" dirty="0" smtClean="0">
                            <a:ln>
                              <a:noFill/>
                            </a:ln>
                            <a:solidFill>
                              <a:schemeClr val="tx1"/>
                            </a:solidFill>
                            <a:effectLst/>
                            <a:latin typeface="Arial" charset="0"/>
                          </a:endParaRPr>
                        </a:p>
                      </a:txBody>
                      <a:useSpRect/>
                    </a:txSp>
                    <a:style>
                      <a:lnRef idx="1">
                        <a:schemeClr val="dk1"/>
                      </a:lnRef>
                      <a:fillRef idx="2">
                        <a:schemeClr val="dk1"/>
                      </a:fillRef>
                      <a:effectRef idx="1">
                        <a:schemeClr val="dk1"/>
                      </a:effectRef>
                      <a:fontRef idx="minor">
                        <a:schemeClr val="dk1"/>
                      </a:fontRef>
                    </a:style>
                  </a:sp>
                  <a:pic>
                    <a:nvPicPr>
                      <a:cNvPr id="14" name="Picture 13" descr="ms-sc.png"/>
                      <a:cNvPicPr>
                        <a:picLocks noChangeAspect="1"/>
                      </a:cNvPicPr>
                    </a:nvPicPr>
                    <a:blipFill>
                      <a:blip r:embed="rId20"/>
                      <a:stretch>
                        <a:fillRect/>
                      </a:stretch>
                    </a:blipFill>
                    <a:spPr>
                      <a:xfrm>
                        <a:off x="838200" y="2057400"/>
                        <a:ext cx="1424683" cy="914400"/>
                      </a:xfrm>
                      <a:prstGeom prst="rect">
                        <a:avLst/>
                      </a:prstGeom>
                    </a:spPr>
                  </a:pic>
                  <a:sp>
                    <a:nvSpPr>
                      <a:cNvPr id="16" name="Rounded Rectangle 15"/>
                      <a:cNvSpPr/>
                    </a:nvSpPr>
                    <a:spPr bwMode="auto">
                      <a:xfrm>
                        <a:off x="685800" y="1066800"/>
                        <a:ext cx="7772400" cy="4572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dk1"/>
                              </a:solidFill>
                              <a:latin typeface="+mn-lt"/>
                              <a:ea typeface="+mn-ea"/>
                              <a:cs typeface="+mn-cs"/>
                            </a:defRPr>
                          </a:lvl1pPr>
                          <a:lvl2pPr marL="457135" algn="l" rtl="0" eaLnBrk="0" fontAlgn="base" hangingPunct="0">
                            <a:spcBef>
                              <a:spcPct val="0"/>
                            </a:spcBef>
                            <a:spcAft>
                              <a:spcPct val="0"/>
                            </a:spcAft>
                            <a:defRPr sz="2000" b="1" kern="1200">
                              <a:solidFill>
                                <a:schemeClr val="dk1"/>
                              </a:solidFill>
                              <a:latin typeface="+mn-lt"/>
                              <a:ea typeface="+mn-ea"/>
                              <a:cs typeface="+mn-cs"/>
                            </a:defRPr>
                          </a:lvl2pPr>
                          <a:lvl3pPr marL="914269" algn="l" rtl="0" eaLnBrk="0" fontAlgn="base" hangingPunct="0">
                            <a:spcBef>
                              <a:spcPct val="0"/>
                            </a:spcBef>
                            <a:spcAft>
                              <a:spcPct val="0"/>
                            </a:spcAft>
                            <a:defRPr sz="2000" b="1" kern="1200">
                              <a:solidFill>
                                <a:schemeClr val="dk1"/>
                              </a:solidFill>
                              <a:latin typeface="+mn-lt"/>
                              <a:ea typeface="+mn-ea"/>
                              <a:cs typeface="+mn-cs"/>
                            </a:defRPr>
                          </a:lvl3pPr>
                          <a:lvl4pPr marL="1371404" algn="l" rtl="0" eaLnBrk="0" fontAlgn="base" hangingPunct="0">
                            <a:spcBef>
                              <a:spcPct val="0"/>
                            </a:spcBef>
                            <a:spcAft>
                              <a:spcPct val="0"/>
                            </a:spcAft>
                            <a:defRPr sz="2000" b="1" kern="1200">
                              <a:solidFill>
                                <a:schemeClr val="dk1"/>
                              </a:solidFill>
                              <a:latin typeface="+mn-lt"/>
                              <a:ea typeface="+mn-ea"/>
                              <a:cs typeface="+mn-cs"/>
                            </a:defRPr>
                          </a:lvl4pPr>
                          <a:lvl5pPr marL="1828539" algn="l" rtl="0" eaLnBrk="0" fontAlgn="base" hangingPunct="0">
                            <a:spcBef>
                              <a:spcPct val="0"/>
                            </a:spcBef>
                            <a:spcAft>
                              <a:spcPct val="0"/>
                            </a:spcAft>
                            <a:defRPr sz="2000" b="1" kern="1200">
                              <a:solidFill>
                                <a:schemeClr val="dk1"/>
                              </a:solidFill>
                              <a:latin typeface="+mn-lt"/>
                              <a:ea typeface="+mn-ea"/>
                              <a:cs typeface="+mn-cs"/>
                            </a:defRPr>
                          </a:lvl5pPr>
                          <a:lvl6pPr marL="2285674" algn="l" defTabSz="914269" rtl="0" eaLnBrk="1" latinLnBrk="0" hangingPunct="1">
                            <a:defRPr sz="2000" b="1" kern="1200">
                              <a:solidFill>
                                <a:schemeClr val="dk1"/>
                              </a:solidFill>
                              <a:latin typeface="+mn-lt"/>
                              <a:ea typeface="+mn-ea"/>
                              <a:cs typeface="+mn-cs"/>
                            </a:defRPr>
                          </a:lvl6pPr>
                          <a:lvl7pPr marL="2742809" algn="l" defTabSz="914269" rtl="0" eaLnBrk="1" latinLnBrk="0" hangingPunct="1">
                            <a:defRPr sz="2000" b="1" kern="1200">
                              <a:solidFill>
                                <a:schemeClr val="dk1"/>
                              </a:solidFill>
                              <a:latin typeface="+mn-lt"/>
                              <a:ea typeface="+mn-ea"/>
                              <a:cs typeface="+mn-cs"/>
                            </a:defRPr>
                          </a:lvl7pPr>
                          <a:lvl8pPr marL="3199944" algn="l" defTabSz="914269" rtl="0" eaLnBrk="1" latinLnBrk="0" hangingPunct="1">
                            <a:defRPr sz="2000" b="1" kern="1200">
                              <a:solidFill>
                                <a:schemeClr val="dk1"/>
                              </a:solidFill>
                              <a:latin typeface="+mn-lt"/>
                              <a:ea typeface="+mn-ea"/>
                              <a:cs typeface="+mn-cs"/>
                            </a:defRPr>
                          </a:lvl8pPr>
                          <a:lvl9pPr marL="3657078" algn="l" defTabSz="914269" rtl="0" eaLnBrk="1" latinLnBrk="0" hangingPunct="1">
                            <a:defRPr sz="2000" b="1" kern="1200">
                              <a:solidFill>
                                <a:schemeClr val="dk1"/>
                              </a:solidFill>
                              <a:latin typeface="+mn-lt"/>
                              <a:ea typeface="+mn-ea"/>
                              <a:cs typeface="+mn-cs"/>
                            </a:defRPr>
                          </a:lvl9pPr>
                        </a:lstStyle>
                        <a:p>
                          <a:pPr algn="ctr"/>
                          <a:r>
                            <a:rPr lang="en-US" sz="1400" dirty="0" smtClean="0"/>
                            <a:t>Management and Customer Dashboards, Control Panels, Alerts, Notifications</a:t>
                          </a:r>
                          <a:endParaRPr lang="en-US" sz="1400" dirty="0"/>
                        </a:p>
                      </a:txBody>
                      <a:useSpRect/>
                    </a:txSp>
                    <a:style>
                      <a:lnRef idx="2">
                        <a:schemeClr val="accent2"/>
                      </a:lnRef>
                      <a:fillRef idx="1">
                        <a:schemeClr val="lt1"/>
                      </a:fillRef>
                      <a:effectRef idx="0">
                        <a:schemeClr val="accent2"/>
                      </a:effectRef>
                      <a:fontRef idx="minor">
                        <a:schemeClr val="dk1"/>
                      </a:fontRef>
                    </a:style>
                  </a:sp>
                  <a:pic>
                    <a:nvPicPr>
                      <a:cNvPr id="18" name="Picture 2" descr="C:\Documents and Settings\Shakeel Rashed\Local Settings\Temporary Internet Files\Content.IE5\MZJSKI25\MCj04348450000[1].png"/>
                      <a:cNvPicPr>
                        <a:picLocks noChangeAspect="1" noChangeArrowheads="1"/>
                      </a:cNvPicPr>
                    </a:nvPicPr>
                    <a:blipFill>
                      <a:blip r:embed="rId21"/>
                      <a:srcRect/>
                      <a:stretch>
                        <a:fillRect/>
                      </a:stretch>
                    </a:blipFill>
                    <a:spPr bwMode="auto">
                      <a:xfrm>
                        <a:off x="4800600" y="4648200"/>
                        <a:ext cx="990600" cy="990600"/>
                      </a:xfrm>
                      <a:prstGeom prst="rect">
                        <a:avLst/>
                      </a:prstGeom>
                      <a:noFill/>
                    </a:spPr>
                  </a:pic>
                  <a:pic>
                    <a:nvPicPr>
                      <a:cNvPr id="2053" name="Picture 5" descr="C:\Documents and Settings\Shakeel Rashed\Local Settings\Temporary Internet Files\Content.IE5\MZJSKI25\MPj03828410000[1].jpg"/>
                      <a:cNvPicPr>
                        <a:picLocks noChangeAspect="1" noChangeArrowheads="1"/>
                      </a:cNvPicPr>
                    </a:nvPicPr>
                    <a:blipFill>
                      <a:blip r:embed="rId22" cstate="print"/>
                      <a:srcRect/>
                      <a:stretch>
                        <a:fillRect/>
                      </a:stretch>
                    </a:blipFill>
                    <a:spPr bwMode="auto">
                      <a:xfrm>
                        <a:off x="6096000" y="4724400"/>
                        <a:ext cx="533400" cy="746760"/>
                      </a:xfrm>
                      <a:prstGeom prst="can">
                        <a:avLst/>
                      </a:prstGeom>
                      <a:noFill/>
                    </a:spPr>
                  </a:pic>
                  <a:sp>
                    <a:nvSpPr>
                      <a:cNvPr id="23" name="Can 22"/>
                      <a:cNvSpPr/>
                    </a:nvSpPr>
                    <a:spPr bwMode="auto">
                      <a:xfrm>
                        <a:off x="7239000" y="4724400"/>
                        <a:ext cx="533400" cy="685800"/>
                      </a:xfrm>
                      <a:prstGeom prst="can">
                        <a:avLst/>
                      </a:prstGeom>
                      <a:solidFill>
                        <a:schemeClr val="accent1"/>
                      </a:solidFill>
                      <a:ln w="952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tx1"/>
                              </a:solidFill>
                              <a:latin typeface="Arial" charset="0"/>
                              <a:ea typeface="+mn-ea"/>
                              <a:cs typeface="+mn-cs"/>
                            </a:defRPr>
                          </a:lvl1pPr>
                          <a:lvl2pPr marL="457135" algn="l" rtl="0" eaLnBrk="0" fontAlgn="base" hangingPunct="0">
                            <a:spcBef>
                              <a:spcPct val="0"/>
                            </a:spcBef>
                            <a:spcAft>
                              <a:spcPct val="0"/>
                            </a:spcAft>
                            <a:defRPr sz="2000" b="1" kern="1200">
                              <a:solidFill>
                                <a:schemeClr val="tx1"/>
                              </a:solidFill>
                              <a:latin typeface="Arial" charset="0"/>
                              <a:ea typeface="+mn-ea"/>
                              <a:cs typeface="+mn-cs"/>
                            </a:defRPr>
                          </a:lvl2pPr>
                          <a:lvl3pPr marL="914269" algn="l" rtl="0" eaLnBrk="0" fontAlgn="base" hangingPunct="0">
                            <a:spcBef>
                              <a:spcPct val="0"/>
                            </a:spcBef>
                            <a:spcAft>
                              <a:spcPct val="0"/>
                            </a:spcAft>
                            <a:defRPr sz="2000" b="1" kern="1200">
                              <a:solidFill>
                                <a:schemeClr val="tx1"/>
                              </a:solidFill>
                              <a:latin typeface="Arial" charset="0"/>
                              <a:ea typeface="+mn-ea"/>
                              <a:cs typeface="+mn-cs"/>
                            </a:defRPr>
                          </a:lvl3pPr>
                          <a:lvl4pPr marL="1371404" algn="l" rtl="0" eaLnBrk="0" fontAlgn="base" hangingPunct="0">
                            <a:spcBef>
                              <a:spcPct val="0"/>
                            </a:spcBef>
                            <a:spcAft>
                              <a:spcPct val="0"/>
                            </a:spcAft>
                            <a:defRPr sz="2000" b="1" kern="1200">
                              <a:solidFill>
                                <a:schemeClr val="tx1"/>
                              </a:solidFill>
                              <a:latin typeface="Arial" charset="0"/>
                              <a:ea typeface="+mn-ea"/>
                              <a:cs typeface="+mn-cs"/>
                            </a:defRPr>
                          </a:lvl4pPr>
                          <a:lvl5pPr marL="1828539" algn="l" rtl="0" eaLnBrk="0" fontAlgn="base" hangingPunct="0">
                            <a:spcBef>
                              <a:spcPct val="0"/>
                            </a:spcBef>
                            <a:spcAft>
                              <a:spcPct val="0"/>
                            </a:spcAft>
                            <a:defRPr sz="2000" b="1" kern="1200">
                              <a:solidFill>
                                <a:schemeClr val="tx1"/>
                              </a:solidFill>
                              <a:latin typeface="Arial" charset="0"/>
                              <a:ea typeface="+mn-ea"/>
                              <a:cs typeface="+mn-cs"/>
                            </a:defRPr>
                          </a:lvl5pPr>
                          <a:lvl6pPr marL="2285674" algn="l" defTabSz="914269" rtl="0" eaLnBrk="1" latinLnBrk="0" hangingPunct="1">
                            <a:defRPr sz="2000" b="1" kern="1200">
                              <a:solidFill>
                                <a:schemeClr val="tx1"/>
                              </a:solidFill>
                              <a:latin typeface="Arial" charset="0"/>
                              <a:ea typeface="+mn-ea"/>
                              <a:cs typeface="+mn-cs"/>
                            </a:defRPr>
                          </a:lvl6pPr>
                          <a:lvl7pPr marL="2742809" algn="l" defTabSz="914269" rtl="0" eaLnBrk="1" latinLnBrk="0" hangingPunct="1">
                            <a:defRPr sz="2000" b="1" kern="1200">
                              <a:solidFill>
                                <a:schemeClr val="tx1"/>
                              </a:solidFill>
                              <a:latin typeface="Arial" charset="0"/>
                              <a:ea typeface="+mn-ea"/>
                              <a:cs typeface="+mn-cs"/>
                            </a:defRPr>
                          </a:lvl7pPr>
                          <a:lvl8pPr marL="3199944" algn="l" defTabSz="914269" rtl="0" eaLnBrk="1" latinLnBrk="0" hangingPunct="1">
                            <a:defRPr sz="2000" b="1" kern="1200">
                              <a:solidFill>
                                <a:schemeClr val="tx1"/>
                              </a:solidFill>
                              <a:latin typeface="Arial" charset="0"/>
                              <a:ea typeface="+mn-ea"/>
                              <a:cs typeface="+mn-cs"/>
                            </a:defRPr>
                          </a:lvl8pPr>
                          <a:lvl9pPr marL="3657078" algn="l" defTabSz="914269" rtl="0" eaLnBrk="1" latinLnBrk="0" hangingPunct="1">
                            <a:defRPr sz="2000" b="1"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2000" b="1" i="0" u="none" strike="noStrike" cap="none" normalizeH="0" baseline="0" smtClean="0">
                            <a:ln>
                              <a:noFill/>
                            </a:ln>
                            <a:solidFill>
                              <a:schemeClr val="tx1"/>
                            </a:solidFill>
                            <a:effectLst/>
                            <a:latin typeface="Arial" charset="0"/>
                          </a:endParaRPr>
                        </a:p>
                      </a:txBody>
                      <a:useSpRect/>
                    </a:txSp>
                  </a:sp>
                  <a:sp>
                    <a:nvSpPr>
                      <a:cNvPr id="24" name="Rounded Rectangle 23"/>
                      <a:cNvSpPr/>
                    </a:nvSpPr>
                    <a:spPr bwMode="auto">
                      <a:xfrm>
                        <a:off x="4191000" y="2971800"/>
                        <a:ext cx="1143000" cy="685800"/>
                      </a:xfrm>
                      <a:prstGeom prst="round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tx1"/>
                              </a:solidFill>
                              <a:latin typeface="Arial" charset="0"/>
                              <a:ea typeface="+mn-ea"/>
                              <a:cs typeface="+mn-cs"/>
                            </a:defRPr>
                          </a:lvl1pPr>
                          <a:lvl2pPr marL="457135" algn="l" rtl="0" eaLnBrk="0" fontAlgn="base" hangingPunct="0">
                            <a:spcBef>
                              <a:spcPct val="0"/>
                            </a:spcBef>
                            <a:spcAft>
                              <a:spcPct val="0"/>
                            </a:spcAft>
                            <a:defRPr sz="2000" b="1" kern="1200">
                              <a:solidFill>
                                <a:schemeClr val="tx1"/>
                              </a:solidFill>
                              <a:latin typeface="Arial" charset="0"/>
                              <a:ea typeface="+mn-ea"/>
                              <a:cs typeface="+mn-cs"/>
                            </a:defRPr>
                          </a:lvl2pPr>
                          <a:lvl3pPr marL="914269" algn="l" rtl="0" eaLnBrk="0" fontAlgn="base" hangingPunct="0">
                            <a:spcBef>
                              <a:spcPct val="0"/>
                            </a:spcBef>
                            <a:spcAft>
                              <a:spcPct val="0"/>
                            </a:spcAft>
                            <a:defRPr sz="2000" b="1" kern="1200">
                              <a:solidFill>
                                <a:schemeClr val="tx1"/>
                              </a:solidFill>
                              <a:latin typeface="Arial" charset="0"/>
                              <a:ea typeface="+mn-ea"/>
                              <a:cs typeface="+mn-cs"/>
                            </a:defRPr>
                          </a:lvl3pPr>
                          <a:lvl4pPr marL="1371404" algn="l" rtl="0" eaLnBrk="0" fontAlgn="base" hangingPunct="0">
                            <a:spcBef>
                              <a:spcPct val="0"/>
                            </a:spcBef>
                            <a:spcAft>
                              <a:spcPct val="0"/>
                            </a:spcAft>
                            <a:defRPr sz="2000" b="1" kern="1200">
                              <a:solidFill>
                                <a:schemeClr val="tx1"/>
                              </a:solidFill>
                              <a:latin typeface="Arial" charset="0"/>
                              <a:ea typeface="+mn-ea"/>
                              <a:cs typeface="+mn-cs"/>
                            </a:defRPr>
                          </a:lvl4pPr>
                          <a:lvl5pPr marL="1828539" algn="l" rtl="0" eaLnBrk="0" fontAlgn="base" hangingPunct="0">
                            <a:spcBef>
                              <a:spcPct val="0"/>
                            </a:spcBef>
                            <a:spcAft>
                              <a:spcPct val="0"/>
                            </a:spcAft>
                            <a:defRPr sz="2000" b="1" kern="1200">
                              <a:solidFill>
                                <a:schemeClr val="tx1"/>
                              </a:solidFill>
                              <a:latin typeface="Arial" charset="0"/>
                              <a:ea typeface="+mn-ea"/>
                              <a:cs typeface="+mn-cs"/>
                            </a:defRPr>
                          </a:lvl5pPr>
                          <a:lvl6pPr marL="2285674" algn="l" defTabSz="914269" rtl="0" eaLnBrk="1" latinLnBrk="0" hangingPunct="1">
                            <a:defRPr sz="2000" b="1" kern="1200">
                              <a:solidFill>
                                <a:schemeClr val="tx1"/>
                              </a:solidFill>
                              <a:latin typeface="Arial" charset="0"/>
                              <a:ea typeface="+mn-ea"/>
                              <a:cs typeface="+mn-cs"/>
                            </a:defRPr>
                          </a:lvl6pPr>
                          <a:lvl7pPr marL="2742809" algn="l" defTabSz="914269" rtl="0" eaLnBrk="1" latinLnBrk="0" hangingPunct="1">
                            <a:defRPr sz="2000" b="1" kern="1200">
                              <a:solidFill>
                                <a:schemeClr val="tx1"/>
                              </a:solidFill>
                              <a:latin typeface="Arial" charset="0"/>
                              <a:ea typeface="+mn-ea"/>
                              <a:cs typeface="+mn-cs"/>
                            </a:defRPr>
                          </a:lvl7pPr>
                          <a:lvl8pPr marL="3199944" algn="l" defTabSz="914269" rtl="0" eaLnBrk="1" latinLnBrk="0" hangingPunct="1">
                            <a:defRPr sz="2000" b="1" kern="1200">
                              <a:solidFill>
                                <a:schemeClr val="tx1"/>
                              </a:solidFill>
                              <a:latin typeface="Arial" charset="0"/>
                              <a:ea typeface="+mn-ea"/>
                              <a:cs typeface="+mn-cs"/>
                            </a:defRPr>
                          </a:lvl8pPr>
                          <a:lvl9pPr marL="3657078" algn="l" defTabSz="914269" rtl="0" eaLnBrk="1" latinLnBrk="0" hangingPunct="1">
                            <a:defRPr sz="2000" b="1" kern="1200">
                              <a:solidFill>
                                <a:schemeClr val="tx1"/>
                              </a:solidFill>
                              <a:latin typeface="Arial" charset="0"/>
                              <a:ea typeface="+mn-ea"/>
                              <a:cs typeface="+mn-cs"/>
                            </a:defRPr>
                          </a:lvl9pPr>
                        </a:lstStyle>
                        <a:p>
                          <a:pPr algn="ctr"/>
                          <a:r>
                            <a:rPr lang="en-US" sz="1100" dirty="0" smtClean="0"/>
                            <a:t>High</a:t>
                          </a:r>
                        </a:p>
                        <a:p>
                          <a:pPr algn="ctr"/>
                          <a:r>
                            <a:rPr lang="en-US" sz="1100" dirty="0" smtClean="0"/>
                            <a:t>Availability</a:t>
                          </a:r>
                        </a:p>
                      </a:txBody>
                      <a:useSpRect/>
                    </a:txSp>
                  </a:sp>
                  <a:sp>
                    <a:nvSpPr>
                      <a:cNvPr id="25" name="Rounded Rectangle 24"/>
                      <a:cNvSpPr/>
                    </a:nvSpPr>
                    <a:spPr bwMode="auto">
                      <a:xfrm>
                        <a:off x="5562600" y="2971800"/>
                        <a:ext cx="1143000" cy="685800"/>
                      </a:xfrm>
                      <a:prstGeom prst="round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tx1"/>
                              </a:solidFill>
                              <a:latin typeface="Arial" charset="0"/>
                              <a:ea typeface="+mn-ea"/>
                              <a:cs typeface="+mn-cs"/>
                            </a:defRPr>
                          </a:lvl1pPr>
                          <a:lvl2pPr marL="457135" algn="l" rtl="0" eaLnBrk="0" fontAlgn="base" hangingPunct="0">
                            <a:spcBef>
                              <a:spcPct val="0"/>
                            </a:spcBef>
                            <a:spcAft>
                              <a:spcPct val="0"/>
                            </a:spcAft>
                            <a:defRPr sz="2000" b="1" kern="1200">
                              <a:solidFill>
                                <a:schemeClr val="tx1"/>
                              </a:solidFill>
                              <a:latin typeface="Arial" charset="0"/>
                              <a:ea typeface="+mn-ea"/>
                              <a:cs typeface="+mn-cs"/>
                            </a:defRPr>
                          </a:lvl2pPr>
                          <a:lvl3pPr marL="914269" algn="l" rtl="0" eaLnBrk="0" fontAlgn="base" hangingPunct="0">
                            <a:spcBef>
                              <a:spcPct val="0"/>
                            </a:spcBef>
                            <a:spcAft>
                              <a:spcPct val="0"/>
                            </a:spcAft>
                            <a:defRPr sz="2000" b="1" kern="1200">
                              <a:solidFill>
                                <a:schemeClr val="tx1"/>
                              </a:solidFill>
                              <a:latin typeface="Arial" charset="0"/>
                              <a:ea typeface="+mn-ea"/>
                              <a:cs typeface="+mn-cs"/>
                            </a:defRPr>
                          </a:lvl3pPr>
                          <a:lvl4pPr marL="1371404" algn="l" rtl="0" eaLnBrk="0" fontAlgn="base" hangingPunct="0">
                            <a:spcBef>
                              <a:spcPct val="0"/>
                            </a:spcBef>
                            <a:spcAft>
                              <a:spcPct val="0"/>
                            </a:spcAft>
                            <a:defRPr sz="2000" b="1" kern="1200">
                              <a:solidFill>
                                <a:schemeClr val="tx1"/>
                              </a:solidFill>
                              <a:latin typeface="Arial" charset="0"/>
                              <a:ea typeface="+mn-ea"/>
                              <a:cs typeface="+mn-cs"/>
                            </a:defRPr>
                          </a:lvl4pPr>
                          <a:lvl5pPr marL="1828539" algn="l" rtl="0" eaLnBrk="0" fontAlgn="base" hangingPunct="0">
                            <a:spcBef>
                              <a:spcPct val="0"/>
                            </a:spcBef>
                            <a:spcAft>
                              <a:spcPct val="0"/>
                            </a:spcAft>
                            <a:defRPr sz="2000" b="1" kern="1200">
                              <a:solidFill>
                                <a:schemeClr val="tx1"/>
                              </a:solidFill>
                              <a:latin typeface="Arial" charset="0"/>
                              <a:ea typeface="+mn-ea"/>
                              <a:cs typeface="+mn-cs"/>
                            </a:defRPr>
                          </a:lvl5pPr>
                          <a:lvl6pPr marL="2285674" algn="l" defTabSz="914269" rtl="0" eaLnBrk="1" latinLnBrk="0" hangingPunct="1">
                            <a:defRPr sz="2000" b="1" kern="1200">
                              <a:solidFill>
                                <a:schemeClr val="tx1"/>
                              </a:solidFill>
                              <a:latin typeface="Arial" charset="0"/>
                              <a:ea typeface="+mn-ea"/>
                              <a:cs typeface="+mn-cs"/>
                            </a:defRPr>
                          </a:lvl6pPr>
                          <a:lvl7pPr marL="2742809" algn="l" defTabSz="914269" rtl="0" eaLnBrk="1" latinLnBrk="0" hangingPunct="1">
                            <a:defRPr sz="2000" b="1" kern="1200">
                              <a:solidFill>
                                <a:schemeClr val="tx1"/>
                              </a:solidFill>
                              <a:latin typeface="Arial" charset="0"/>
                              <a:ea typeface="+mn-ea"/>
                              <a:cs typeface="+mn-cs"/>
                            </a:defRPr>
                          </a:lvl7pPr>
                          <a:lvl8pPr marL="3199944" algn="l" defTabSz="914269" rtl="0" eaLnBrk="1" latinLnBrk="0" hangingPunct="1">
                            <a:defRPr sz="2000" b="1" kern="1200">
                              <a:solidFill>
                                <a:schemeClr val="tx1"/>
                              </a:solidFill>
                              <a:latin typeface="Arial" charset="0"/>
                              <a:ea typeface="+mn-ea"/>
                              <a:cs typeface="+mn-cs"/>
                            </a:defRPr>
                          </a:lvl8pPr>
                          <a:lvl9pPr marL="3657078" algn="l" defTabSz="914269" rtl="0" eaLnBrk="1" latinLnBrk="0" hangingPunct="1">
                            <a:defRPr sz="2000" b="1" kern="1200">
                              <a:solidFill>
                                <a:schemeClr val="tx1"/>
                              </a:solidFill>
                              <a:latin typeface="Arial" charset="0"/>
                              <a:ea typeface="+mn-ea"/>
                              <a:cs typeface="+mn-cs"/>
                            </a:defRPr>
                          </a:lvl9pPr>
                        </a:lstStyle>
                        <a:p>
                          <a:pPr algn="ctr"/>
                          <a:r>
                            <a:rPr lang="en-US" sz="1100" dirty="0" smtClean="0"/>
                            <a:t>Business</a:t>
                          </a:r>
                        </a:p>
                        <a:p>
                          <a:pPr algn="ctr"/>
                          <a:r>
                            <a:rPr lang="en-US" sz="1100" dirty="0" smtClean="0"/>
                            <a:t>Continuity </a:t>
                          </a:r>
                        </a:p>
                      </a:txBody>
                      <a:useSpRect/>
                    </a:txSp>
                  </a:sp>
                  <a:sp>
                    <a:nvSpPr>
                      <a:cNvPr id="26" name="Rounded Rectangle 25"/>
                      <a:cNvSpPr/>
                    </a:nvSpPr>
                    <a:spPr bwMode="auto">
                      <a:xfrm>
                        <a:off x="6934200" y="2971800"/>
                        <a:ext cx="1143000" cy="685800"/>
                      </a:xfrm>
                      <a:prstGeom prst="round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tx1"/>
                              </a:solidFill>
                              <a:latin typeface="Arial" charset="0"/>
                              <a:ea typeface="+mn-ea"/>
                              <a:cs typeface="+mn-cs"/>
                            </a:defRPr>
                          </a:lvl1pPr>
                          <a:lvl2pPr marL="457135" algn="l" rtl="0" eaLnBrk="0" fontAlgn="base" hangingPunct="0">
                            <a:spcBef>
                              <a:spcPct val="0"/>
                            </a:spcBef>
                            <a:spcAft>
                              <a:spcPct val="0"/>
                            </a:spcAft>
                            <a:defRPr sz="2000" b="1" kern="1200">
                              <a:solidFill>
                                <a:schemeClr val="tx1"/>
                              </a:solidFill>
                              <a:latin typeface="Arial" charset="0"/>
                              <a:ea typeface="+mn-ea"/>
                              <a:cs typeface="+mn-cs"/>
                            </a:defRPr>
                          </a:lvl2pPr>
                          <a:lvl3pPr marL="914269" algn="l" rtl="0" eaLnBrk="0" fontAlgn="base" hangingPunct="0">
                            <a:spcBef>
                              <a:spcPct val="0"/>
                            </a:spcBef>
                            <a:spcAft>
                              <a:spcPct val="0"/>
                            </a:spcAft>
                            <a:defRPr sz="2000" b="1" kern="1200">
                              <a:solidFill>
                                <a:schemeClr val="tx1"/>
                              </a:solidFill>
                              <a:latin typeface="Arial" charset="0"/>
                              <a:ea typeface="+mn-ea"/>
                              <a:cs typeface="+mn-cs"/>
                            </a:defRPr>
                          </a:lvl3pPr>
                          <a:lvl4pPr marL="1371404" algn="l" rtl="0" eaLnBrk="0" fontAlgn="base" hangingPunct="0">
                            <a:spcBef>
                              <a:spcPct val="0"/>
                            </a:spcBef>
                            <a:spcAft>
                              <a:spcPct val="0"/>
                            </a:spcAft>
                            <a:defRPr sz="2000" b="1" kern="1200">
                              <a:solidFill>
                                <a:schemeClr val="tx1"/>
                              </a:solidFill>
                              <a:latin typeface="Arial" charset="0"/>
                              <a:ea typeface="+mn-ea"/>
                              <a:cs typeface="+mn-cs"/>
                            </a:defRPr>
                          </a:lvl4pPr>
                          <a:lvl5pPr marL="1828539" algn="l" rtl="0" eaLnBrk="0" fontAlgn="base" hangingPunct="0">
                            <a:spcBef>
                              <a:spcPct val="0"/>
                            </a:spcBef>
                            <a:spcAft>
                              <a:spcPct val="0"/>
                            </a:spcAft>
                            <a:defRPr sz="2000" b="1" kern="1200">
                              <a:solidFill>
                                <a:schemeClr val="tx1"/>
                              </a:solidFill>
                              <a:latin typeface="Arial" charset="0"/>
                              <a:ea typeface="+mn-ea"/>
                              <a:cs typeface="+mn-cs"/>
                            </a:defRPr>
                          </a:lvl5pPr>
                          <a:lvl6pPr marL="2285674" algn="l" defTabSz="914269" rtl="0" eaLnBrk="1" latinLnBrk="0" hangingPunct="1">
                            <a:defRPr sz="2000" b="1" kern="1200">
                              <a:solidFill>
                                <a:schemeClr val="tx1"/>
                              </a:solidFill>
                              <a:latin typeface="Arial" charset="0"/>
                              <a:ea typeface="+mn-ea"/>
                              <a:cs typeface="+mn-cs"/>
                            </a:defRPr>
                          </a:lvl6pPr>
                          <a:lvl7pPr marL="2742809" algn="l" defTabSz="914269" rtl="0" eaLnBrk="1" latinLnBrk="0" hangingPunct="1">
                            <a:defRPr sz="2000" b="1" kern="1200">
                              <a:solidFill>
                                <a:schemeClr val="tx1"/>
                              </a:solidFill>
                              <a:latin typeface="Arial" charset="0"/>
                              <a:ea typeface="+mn-ea"/>
                              <a:cs typeface="+mn-cs"/>
                            </a:defRPr>
                          </a:lvl7pPr>
                          <a:lvl8pPr marL="3199944" algn="l" defTabSz="914269" rtl="0" eaLnBrk="1" latinLnBrk="0" hangingPunct="1">
                            <a:defRPr sz="2000" b="1" kern="1200">
                              <a:solidFill>
                                <a:schemeClr val="tx1"/>
                              </a:solidFill>
                              <a:latin typeface="Arial" charset="0"/>
                              <a:ea typeface="+mn-ea"/>
                              <a:cs typeface="+mn-cs"/>
                            </a:defRPr>
                          </a:lvl8pPr>
                          <a:lvl9pPr marL="3657078" algn="l" defTabSz="914269" rtl="0" eaLnBrk="1" latinLnBrk="0" hangingPunct="1">
                            <a:defRPr sz="2000" b="1" kern="1200">
                              <a:solidFill>
                                <a:schemeClr val="tx1"/>
                              </a:solidFill>
                              <a:latin typeface="Arial" charset="0"/>
                              <a:ea typeface="+mn-ea"/>
                              <a:cs typeface="+mn-cs"/>
                            </a:defRPr>
                          </a:lvl9pPr>
                        </a:lstStyle>
                        <a:p>
                          <a:pPr algn="ctr"/>
                          <a:r>
                            <a:rPr lang="en-US" sz="1100" dirty="0" smtClean="0"/>
                            <a:t>Mobility</a:t>
                          </a:r>
                        </a:p>
                        <a:p>
                          <a:pPr algn="ctr"/>
                          <a:r>
                            <a:rPr lang="en-US" sz="1100" dirty="0" smtClean="0"/>
                            <a:t>And Migration</a:t>
                          </a:r>
                        </a:p>
                      </a:txBody>
                      <a:useSpRect/>
                    </a:txSp>
                  </a:sp>
                  <a:sp>
                    <a:nvSpPr>
                      <a:cNvPr id="27" name="Rounded Rectangle 26"/>
                      <a:cNvSpPr/>
                    </a:nvSpPr>
                    <a:spPr bwMode="auto">
                      <a:xfrm>
                        <a:off x="2438400" y="1905000"/>
                        <a:ext cx="1371600" cy="9906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lt1"/>
                              </a:solidFill>
                              <a:latin typeface="+mn-lt"/>
                              <a:ea typeface="+mn-ea"/>
                              <a:cs typeface="+mn-cs"/>
                            </a:defRPr>
                          </a:lvl1pPr>
                          <a:lvl2pPr marL="457135" algn="l" rtl="0" eaLnBrk="0" fontAlgn="base" hangingPunct="0">
                            <a:spcBef>
                              <a:spcPct val="0"/>
                            </a:spcBef>
                            <a:spcAft>
                              <a:spcPct val="0"/>
                            </a:spcAft>
                            <a:defRPr sz="2000" b="1" kern="1200">
                              <a:solidFill>
                                <a:schemeClr val="lt1"/>
                              </a:solidFill>
                              <a:latin typeface="+mn-lt"/>
                              <a:ea typeface="+mn-ea"/>
                              <a:cs typeface="+mn-cs"/>
                            </a:defRPr>
                          </a:lvl2pPr>
                          <a:lvl3pPr marL="914269" algn="l" rtl="0" eaLnBrk="0" fontAlgn="base" hangingPunct="0">
                            <a:spcBef>
                              <a:spcPct val="0"/>
                            </a:spcBef>
                            <a:spcAft>
                              <a:spcPct val="0"/>
                            </a:spcAft>
                            <a:defRPr sz="2000" b="1" kern="1200">
                              <a:solidFill>
                                <a:schemeClr val="lt1"/>
                              </a:solidFill>
                              <a:latin typeface="+mn-lt"/>
                              <a:ea typeface="+mn-ea"/>
                              <a:cs typeface="+mn-cs"/>
                            </a:defRPr>
                          </a:lvl3pPr>
                          <a:lvl4pPr marL="1371404" algn="l" rtl="0" eaLnBrk="0" fontAlgn="base" hangingPunct="0">
                            <a:spcBef>
                              <a:spcPct val="0"/>
                            </a:spcBef>
                            <a:spcAft>
                              <a:spcPct val="0"/>
                            </a:spcAft>
                            <a:defRPr sz="2000" b="1" kern="1200">
                              <a:solidFill>
                                <a:schemeClr val="lt1"/>
                              </a:solidFill>
                              <a:latin typeface="+mn-lt"/>
                              <a:ea typeface="+mn-ea"/>
                              <a:cs typeface="+mn-cs"/>
                            </a:defRPr>
                          </a:lvl4pPr>
                          <a:lvl5pPr marL="1828539" algn="l" rtl="0" eaLnBrk="0" fontAlgn="base" hangingPunct="0">
                            <a:spcBef>
                              <a:spcPct val="0"/>
                            </a:spcBef>
                            <a:spcAft>
                              <a:spcPct val="0"/>
                            </a:spcAft>
                            <a:defRPr sz="2000" b="1" kern="1200">
                              <a:solidFill>
                                <a:schemeClr val="lt1"/>
                              </a:solidFill>
                              <a:latin typeface="+mn-lt"/>
                              <a:ea typeface="+mn-ea"/>
                              <a:cs typeface="+mn-cs"/>
                            </a:defRPr>
                          </a:lvl5pPr>
                          <a:lvl6pPr marL="2285674" algn="l" defTabSz="914269" rtl="0" eaLnBrk="1" latinLnBrk="0" hangingPunct="1">
                            <a:defRPr sz="2000" b="1" kern="1200">
                              <a:solidFill>
                                <a:schemeClr val="lt1"/>
                              </a:solidFill>
                              <a:latin typeface="+mn-lt"/>
                              <a:ea typeface="+mn-ea"/>
                              <a:cs typeface="+mn-cs"/>
                            </a:defRPr>
                          </a:lvl6pPr>
                          <a:lvl7pPr marL="2742809" algn="l" defTabSz="914269" rtl="0" eaLnBrk="1" latinLnBrk="0" hangingPunct="1">
                            <a:defRPr sz="2000" b="1" kern="1200">
                              <a:solidFill>
                                <a:schemeClr val="lt1"/>
                              </a:solidFill>
                              <a:latin typeface="+mn-lt"/>
                              <a:ea typeface="+mn-ea"/>
                              <a:cs typeface="+mn-cs"/>
                            </a:defRPr>
                          </a:lvl7pPr>
                          <a:lvl8pPr marL="3199944" algn="l" defTabSz="914269" rtl="0" eaLnBrk="1" latinLnBrk="0" hangingPunct="1">
                            <a:defRPr sz="2000" b="1" kern="1200">
                              <a:solidFill>
                                <a:schemeClr val="lt1"/>
                              </a:solidFill>
                              <a:latin typeface="+mn-lt"/>
                              <a:ea typeface="+mn-ea"/>
                              <a:cs typeface="+mn-cs"/>
                            </a:defRPr>
                          </a:lvl8pPr>
                          <a:lvl9pPr marL="3657078" algn="l" defTabSz="914269" rtl="0" eaLnBrk="1" latinLnBrk="0" hangingPunct="1">
                            <a:defRPr sz="2000" b="1" kern="1200">
                              <a:solidFill>
                                <a:schemeClr val="lt1"/>
                              </a:solidFill>
                              <a:latin typeface="+mn-lt"/>
                              <a:ea typeface="+mn-ea"/>
                              <a:cs typeface="+mn-cs"/>
                            </a:defRPr>
                          </a:lvl9pPr>
                        </a:lstStyle>
                        <a:p>
                          <a:r>
                            <a:rPr lang="en-US" sz="1200" dirty="0" smtClean="0"/>
                            <a:t>Configuration</a:t>
                          </a:r>
                        </a:p>
                        <a:p>
                          <a:r>
                            <a:rPr lang="en-US" sz="800" dirty="0" smtClean="0"/>
                            <a:t>Software Updates</a:t>
                          </a:r>
                        </a:p>
                        <a:p>
                          <a:r>
                            <a:rPr lang="en-US" sz="800" dirty="0" smtClean="0"/>
                            <a:t>Software Distributions</a:t>
                          </a:r>
                        </a:p>
                        <a:p>
                          <a:r>
                            <a:rPr lang="en-US" sz="800" dirty="0" smtClean="0"/>
                            <a:t>Asset Tracking</a:t>
                          </a:r>
                        </a:p>
                        <a:p>
                          <a:r>
                            <a:rPr lang="en-US" sz="800" dirty="0" smtClean="0"/>
                            <a:t>Software Metering</a:t>
                          </a:r>
                        </a:p>
                        <a:p>
                          <a:r>
                            <a:rPr lang="en-US" sz="800" dirty="0" smtClean="0"/>
                            <a:t>Desired Configurations</a:t>
                          </a:r>
                        </a:p>
                      </a:txBody>
                      <a:useSpRect/>
                    </a:txSp>
                    <a:style>
                      <a:lnRef idx="2">
                        <a:schemeClr val="accent6">
                          <a:shade val="50000"/>
                        </a:schemeClr>
                      </a:lnRef>
                      <a:fillRef idx="1">
                        <a:schemeClr val="accent6"/>
                      </a:fillRef>
                      <a:effectRef idx="0">
                        <a:schemeClr val="accent6"/>
                      </a:effectRef>
                      <a:fontRef idx="minor">
                        <a:schemeClr val="lt1"/>
                      </a:fontRef>
                    </a:style>
                  </a:sp>
                  <a:sp>
                    <a:nvSpPr>
                      <a:cNvPr id="28" name="Rounded Rectangle 27"/>
                      <a:cNvSpPr/>
                    </a:nvSpPr>
                    <a:spPr bwMode="auto">
                      <a:xfrm>
                        <a:off x="3911600" y="1905000"/>
                        <a:ext cx="1371600" cy="9906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lt1"/>
                              </a:solidFill>
                              <a:latin typeface="+mn-lt"/>
                              <a:ea typeface="+mn-ea"/>
                              <a:cs typeface="+mn-cs"/>
                            </a:defRPr>
                          </a:lvl1pPr>
                          <a:lvl2pPr marL="457135" algn="l" rtl="0" eaLnBrk="0" fontAlgn="base" hangingPunct="0">
                            <a:spcBef>
                              <a:spcPct val="0"/>
                            </a:spcBef>
                            <a:spcAft>
                              <a:spcPct val="0"/>
                            </a:spcAft>
                            <a:defRPr sz="2000" b="1" kern="1200">
                              <a:solidFill>
                                <a:schemeClr val="lt1"/>
                              </a:solidFill>
                              <a:latin typeface="+mn-lt"/>
                              <a:ea typeface="+mn-ea"/>
                              <a:cs typeface="+mn-cs"/>
                            </a:defRPr>
                          </a:lvl2pPr>
                          <a:lvl3pPr marL="914269" algn="l" rtl="0" eaLnBrk="0" fontAlgn="base" hangingPunct="0">
                            <a:spcBef>
                              <a:spcPct val="0"/>
                            </a:spcBef>
                            <a:spcAft>
                              <a:spcPct val="0"/>
                            </a:spcAft>
                            <a:defRPr sz="2000" b="1" kern="1200">
                              <a:solidFill>
                                <a:schemeClr val="lt1"/>
                              </a:solidFill>
                              <a:latin typeface="+mn-lt"/>
                              <a:ea typeface="+mn-ea"/>
                              <a:cs typeface="+mn-cs"/>
                            </a:defRPr>
                          </a:lvl3pPr>
                          <a:lvl4pPr marL="1371404" algn="l" rtl="0" eaLnBrk="0" fontAlgn="base" hangingPunct="0">
                            <a:spcBef>
                              <a:spcPct val="0"/>
                            </a:spcBef>
                            <a:spcAft>
                              <a:spcPct val="0"/>
                            </a:spcAft>
                            <a:defRPr sz="2000" b="1" kern="1200">
                              <a:solidFill>
                                <a:schemeClr val="lt1"/>
                              </a:solidFill>
                              <a:latin typeface="+mn-lt"/>
                              <a:ea typeface="+mn-ea"/>
                              <a:cs typeface="+mn-cs"/>
                            </a:defRPr>
                          </a:lvl4pPr>
                          <a:lvl5pPr marL="1828539" algn="l" rtl="0" eaLnBrk="0" fontAlgn="base" hangingPunct="0">
                            <a:spcBef>
                              <a:spcPct val="0"/>
                            </a:spcBef>
                            <a:spcAft>
                              <a:spcPct val="0"/>
                            </a:spcAft>
                            <a:defRPr sz="2000" b="1" kern="1200">
                              <a:solidFill>
                                <a:schemeClr val="lt1"/>
                              </a:solidFill>
                              <a:latin typeface="+mn-lt"/>
                              <a:ea typeface="+mn-ea"/>
                              <a:cs typeface="+mn-cs"/>
                            </a:defRPr>
                          </a:lvl5pPr>
                          <a:lvl6pPr marL="2285674" algn="l" defTabSz="914269" rtl="0" eaLnBrk="1" latinLnBrk="0" hangingPunct="1">
                            <a:defRPr sz="2000" b="1" kern="1200">
                              <a:solidFill>
                                <a:schemeClr val="lt1"/>
                              </a:solidFill>
                              <a:latin typeface="+mn-lt"/>
                              <a:ea typeface="+mn-ea"/>
                              <a:cs typeface="+mn-cs"/>
                            </a:defRPr>
                          </a:lvl6pPr>
                          <a:lvl7pPr marL="2742809" algn="l" defTabSz="914269" rtl="0" eaLnBrk="1" latinLnBrk="0" hangingPunct="1">
                            <a:defRPr sz="2000" b="1" kern="1200">
                              <a:solidFill>
                                <a:schemeClr val="lt1"/>
                              </a:solidFill>
                              <a:latin typeface="+mn-lt"/>
                              <a:ea typeface="+mn-ea"/>
                              <a:cs typeface="+mn-cs"/>
                            </a:defRPr>
                          </a:lvl7pPr>
                          <a:lvl8pPr marL="3199944" algn="l" defTabSz="914269" rtl="0" eaLnBrk="1" latinLnBrk="0" hangingPunct="1">
                            <a:defRPr sz="2000" b="1" kern="1200">
                              <a:solidFill>
                                <a:schemeClr val="lt1"/>
                              </a:solidFill>
                              <a:latin typeface="+mn-lt"/>
                              <a:ea typeface="+mn-ea"/>
                              <a:cs typeface="+mn-cs"/>
                            </a:defRPr>
                          </a:lvl8pPr>
                          <a:lvl9pPr marL="3657078" algn="l" defTabSz="914269" rtl="0" eaLnBrk="1" latinLnBrk="0" hangingPunct="1">
                            <a:defRPr sz="2000" b="1" kern="1200">
                              <a:solidFill>
                                <a:schemeClr val="lt1"/>
                              </a:solidFill>
                              <a:latin typeface="+mn-lt"/>
                              <a:ea typeface="+mn-ea"/>
                              <a:cs typeface="+mn-cs"/>
                            </a:defRPr>
                          </a:lvl9pPr>
                        </a:lstStyle>
                        <a:p>
                          <a:r>
                            <a:rPr lang="en-US" sz="1200" dirty="0" smtClean="0"/>
                            <a:t>Provisioning</a:t>
                          </a:r>
                        </a:p>
                        <a:p>
                          <a:r>
                            <a:rPr lang="en-US" sz="800" dirty="0" smtClean="0"/>
                            <a:t>Auto Placement</a:t>
                          </a:r>
                        </a:p>
                        <a:p>
                          <a:r>
                            <a:rPr lang="en-US" sz="800" dirty="0" smtClean="0"/>
                            <a:t>HA Cluster Management</a:t>
                          </a:r>
                        </a:p>
                        <a:p>
                          <a:r>
                            <a:rPr lang="en-US" sz="800" dirty="0" smtClean="0"/>
                            <a:t>Image Management</a:t>
                          </a:r>
                        </a:p>
                        <a:p>
                          <a:endParaRPr lang="en-US" sz="800" dirty="0" smtClean="0"/>
                        </a:p>
                        <a:p>
                          <a:endParaRPr lang="en-US" sz="800" dirty="0" smtClean="0"/>
                        </a:p>
                      </a:txBody>
                      <a:useSpRect/>
                    </a:txSp>
                    <a:style>
                      <a:lnRef idx="2">
                        <a:schemeClr val="accent6">
                          <a:shade val="50000"/>
                        </a:schemeClr>
                      </a:lnRef>
                      <a:fillRef idx="1">
                        <a:schemeClr val="accent6"/>
                      </a:fillRef>
                      <a:effectRef idx="0">
                        <a:schemeClr val="accent6"/>
                      </a:effectRef>
                      <a:fontRef idx="minor">
                        <a:schemeClr val="lt1"/>
                      </a:fontRef>
                    </a:style>
                  </a:sp>
                  <a:sp>
                    <a:nvSpPr>
                      <a:cNvPr id="29" name="Rounded Rectangle 28"/>
                      <a:cNvSpPr/>
                    </a:nvSpPr>
                    <a:spPr bwMode="auto">
                      <a:xfrm>
                        <a:off x="5384800" y="1905000"/>
                        <a:ext cx="1371600" cy="9906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lt1"/>
                              </a:solidFill>
                              <a:latin typeface="+mn-lt"/>
                              <a:ea typeface="+mn-ea"/>
                              <a:cs typeface="+mn-cs"/>
                            </a:defRPr>
                          </a:lvl1pPr>
                          <a:lvl2pPr marL="457135" algn="l" rtl="0" eaLnBrk="0" fontAlgn="base" hangingPunct="0">
                            <a:spcBef>
                              <a:spcPct val="0"/>
                            </a:spcBef>
                            <a:spcAft>
                              <a:spcPct val="0"/>
                            </a:spcAft>
                            <a:defRPr sz="2000" b="1" kern="1200">
                              <a:solidFill>
                                <a:schemeClr val="lt1"/>
                              </a:solidFill>
                              <a:latin typeface="+mn-lt"/>
                              <a:ea typeface="+mn-ea"/>
                              <a:cs typeface="+mn-cs"/>
                            </a:defRPr>
                          </a:lvl2pPr>
                          <a:lvl3pPr marL="914269" algn="l" rtl="0" eaLnBrk="0" fontAlgn="base" hangingPunct="0">
                            <a:spcBef>
                              <a:spcPct val="0"/>
                            </a:spcBef>
                            <a:spcAft>
                              <a:spcPct val="0"/>
                            </a:spcAft>
                            <a:defRPr sz="2000" b="1" kern="1200">
                              <a:solidFill>
                                <a:schemeClr val="lt1"/>
                              </a:solidFill>
                              <a:latin typeface="+mn-lt"/>
                              <a:ea typeface="+mn-ea"/>
                              <a:cs typeface="+mn-cs"/>
                            </a:defRPr>
                          </a:lvl3pPr>
                          <a:lvl4pPr marL="1371404" algn="l" rtl="0" eaLnBrk="0" fontAlgn="base" hangingPunct="0">
                            <a:spcBef>
                              <a:spcPct val="0"/>
                            </a:spcBef>
                            <a:spcAft>
                              <a:spcPct val="0"/>
                            </a:spcAft>
                            <a:defRPr sz="2000" b="1" kern="1200">
                              <a:solidFill>
                                <a:schemeClr val="lt1"/>
                              </a:solidFill>
                              <a:latin typeface="+mn-lt"/>
                              <a:ea typeface="+mn-ea"/>
                              <a:cs typeface="+mn-cs"/>
                            </a:defRPr>
                          </a:lvl4pPr>
                          <a:lvl5pPr marL="1828539" algn="l" rtl="0" eaLnBrk="0" fontAlgn="base" hangingPunct="0">
                            <a:spcBef>
                              <a:spcPct val="0"/>
                            </a:spcBef>
                            <a:spcAft>
                              <a:spcPct val="0"/>
                            </a:spcAft>
                            <a:defRPr sz="2000" b="1" kern="1200">
                              <a:solidFill>
                                <a:schemeClr val="lt1"/>
                              </a:solidFill>
                              <a:latin typeface="+mn-lt"/>
                              <a:ea typeface="+mn-ea"/>
                              <a:cs typeface="+mn-cs"/>
                            </a:defRPr>
                          </a:lvl5pPr>
                          <a:lvl6pPr marL="2285674" algn="l" defTabSz="914269" rtl="0" eaLnBrk="1" latinLnBrk="0" hangingPunct="1">
                            <a:defRPr sz="2000" b="1" kern="1200">
                              <a:solidFill>
                                <a:schemeClr val="lt1"/>
                              </a:solidFill>
                              <a:latin typeface="+mn-lt"/>
                              <a:ea typeface="+mn-ea"/>
                              <a:cs typeface="+mn-cs"/>
                            </a:defRPr>
                          </a:lvl6pPr>
                          <a:lvl7pPr marL="2742809" algn="l" defTabSz="914269" rtl="0" eaLnBrk="1" latinLnBrk="0" hangingPunct="1">
                            <a:defRPr sz="2000" b="1" kern="1200">
                              <a:solidFill>
                                <a:schemeClr val="lt1"/>
                              </a:solidFill>
                              <a:latin typeface="+mn-lt"/>
                              <a:ea typeface="+mn-ea"/>
                              <a:cs typeface="+mn-cs"/>
                            </a:defRPr>
                          </a:lvl7pPr>
                          <a:lvl8pPr marL="3199944" algn="l" defTabSz="914269" rtl="0" eaLnBrk="1" latinLnBrk="0" hangingPunct="1">
                            <a:defRPr sz="2000" b="1" kern="1200">
                              <a:solidFill>
                                <a:schemeClr val="lt1"/>
                              </a:solidFill>
                              <a:latin typeface="+mn-lt"/>
                              <a:ea typeface="+mn-ea"/>
                              <a:cs typeface="+mn-cs"/>
                            </a:defRPr>
                          </a:lvl8pPr>
                          <a:lvl9pPr marL="3657078" algn="l" defTabSz="914269" rtl="0" eaLnBrk="1" latinLnBrk="0" hangingPunct="1">
                            <a:defRPr sz="2000" b="1" kern="1200">
                              <a:solidFill>
                                <a:schemeClr val="lt1"/>
                              </a:solidFill>
                              <a:latin typeface="+mn-lt"/>
                              <a:ea typeface="+mn-ea"/>
                              <a:cs typeface="+mn-cs"/>
                            </a:defRPr>
                          </a:lvl9pPr>
                        </a:lstStyle>
                        <a:p>
                          <a:r>
                            <a:rPr lang="en-US" sz="1200" dirty="0" smtClean="0"/>
                            <a:t>Monitoring</a:t>
                          </a:r>
                        </a:p>
                        <a:p>
                          <a:r>
                            <a:rPr lang="en-US" sz="800" dirty="0" smtClean="0"/>
                            <a:t>Monitoring</a:t>
                          </a:r>
                        </a:p>
                        <a:p>
                          <a:r>
                            <a:rPr lang="en-US" sz="800" dirty="0" smtClean="0"/>
                            <a:t>Alerts</a:t>
                          </a:r>
                        </a:p>
                        <a:p>
                          <a:r>
                            <a:rPr lang="en-US" sz="800" dirty="0" smtClean="0"/>
                            <a:t>Notifications</a:t>
                          </a:r>
                        </a:p>
                        <a:p>
                          <a:r>
                            <a:rPr lang="en-US" sz="800" dirty="0" smtClean="0"/>
                            <a:t>Security Audits</a:t>
                          </a:r>
                        </a:p>
                        <a:p>
                          <a:endParaRPr lang="en-US" sz="800" dirty="0" smtClean="0"/>
                        </a:p>
                      </a:txBody>
                      <a:useSpRect/>
                    </a:txSp>
                    <a:style>
                      <a:lnRef idx="2">
                        <a:schemeClr val="accent6">
                          <a:shade val="50000"/>
                        </a:schemeClr>
                      </a:lnRef>
                      <a:fillRef idx="1">
                        <a:schemeClr val="accent6"/>
                      </a:fillRef>
                      <a:effectRef idx="0">
                        <a:schemeClr val="accent6"/>
                      </a:effectRef>
                      <a:fontRef idx="minor">
                        <a:schemeClr val="lt1"/>
                      </a:fontRef>
                    </a:style>
                  </a:sp>
                  <a:sp>
                    <a:nvSpPr>
                      <a:cNvPr id="30" name="Rounded Rectangle 29"/>
                      <a:cNvSpPr/>
                    </a:nvSpPr>
                    <a:spPr bwMode="auto">
                      <a:xfrm>
                        <a:off x="6858000" y="1905000"/>
                        <a:ext cx="1371600" cy="990600"/>
                      </a:xfrm>
                      <a:prstGeom prst="roundRect">
                        <a:avLst/>
                      </a:prstGeom>
                      <a:ln>
                        <a:headEnd type="none" w="med" len="med"/>
                        <a:tailEnd type="none" w="med" len="med"/>
                      </a:ln>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lt1"/>
                              </a:solidFill>
                              <a:latin typeface="+mn-lt"/>
                              <a:ea typeface="+mn-ea"/>
                              <a:cs typeface="+mn-cs"/>
                            </a:defRPr>
                          </a:lvl1pPr>
                          <a:lvl2pPr marL="457135" algn="l" rtl="0" eaLnBrk="0" fontAlgn="base" hangingPunct="0">
                            <a:spcBef>
                              <a:spcPct val="0"/>
                            </a:spcBef>
                            <a:spcAft>
                              <a:spcPct val="0"/>
                            </a:spcAft>
                            <a:defRPr sz="2000" b="1" kern="1200">
                              <a:solidFill>
                                <a:schemeClr val="lt1"/>
                              </a:solidFill>
                              <a:latin typeface="+mn-lt"/>
                              <a:ea typeface="+mn-ea"/>
                              <a:cs typeface="+mn-cs"/>
                            </a:defRPr>
                          </a:lvl2pPr>
                          <a:lvl3pPr marL="914269" algn="l" rtl="0" eaLnBrk="0" fontAlgn="base" hangingPunct="0">
                            <a:spcBef>
                              <a:spcPct val="0"/>
                            </a:spcBef>
                            <a:spcAft>
                              <a:spcPct val="0"/>
                            </a:spcAft>
                            <a:defRPr sz="2000" b="1" kern="1200">
                              <a:solidFill>
                                <a:schemeClr val="lt1"/>
                              </a:solidFill>
                              <a:latin typeface="+mn-lt"/>
                              <a:ea typeface="+mn-ea"/>
                              <a:cs typeface="+mn-cs"/>
                            </a:defRPr>
                          </a:lvl3pPr>
                          <a:lvl4pPr marL="1371404" algn="l" rtl="0" eaLnBrk="0" fontAlgn="base" hangingPunct="0">
                            <a:spcBef>
                              <a:spcPct val="0"/>
                            </a:spcBef>
                            <a:spcAft>
                              <a:spcPct val="0"/>
                            </a:spcAft>
                            <a:defRPr sz="2000" b="1" kern="1200">
                              <a:solidFill>
                                <a:schemeClr val="lt1"/>
                              </a:solidFill>
                              <a:latin typeface="+mn-lt"/>
                              <a:ea typeface="+mn-ea"/>
                              <a:cs typeface="+mn-cs"/>
                            </a:defRPr>
                          </a:lvl4pPr>
                          <a:lvl5pPr marL="1828539" algn="l" rtl="0" eaLnBrk="0" fontAlgn="base" hangingPunct="0">
                            <a:spcBef>
                              <a:spcPct val="0"/>
                            </a:spcBef>
                            <a:spcAft>
                              <a:spcPct val="0"/>
                            </a:spcAft>
                            <a:defRPr sz="2000" b="1" kern="1200">
                              <a:solidFill>
                                <a:schemeClr val="lt1"/>
                              </a:solidFill>
                              <a:latin typeface="+mn-lt"/>
                              <a:ea typeface="+mn-ea"/>
                              <a:cs typeface="+mn-cs"/>
                            </a:defRPr>
                          </a:lvl5pPr>
                          <a:lvl6pPr marL="2285674" algn="l" defTabSz="914269" rtl="0" eaLnBrk="1" latinLnBrk="0" hangingPunct="1">
                            <a:defRPr sz="2000" b="1" kern="1200">
                              <a:solidFill>
                                <a:schemeClr val="lt1"/>
                              </a:solidFill>
                              <a:latin typeface="+mn-lt"/>
                              <a:ea typeface="+mn-ea"/>
                              <a:cs typeface="+mn-cs"/>
                            </a:defRPr>
                          </a:lvl6pPr>
                          <a:lvl7pPr marL="2742809" algn="l" defTabSz="914269" rtl="0" eaLnBrk="1" latinLnBrk="0" hangingPunct="1">
                            <a:defRPr sz="2000" b="1" kern="1200">
                              <a:solidFill>
                                <a:schemeClr val="lt1"/>
                              </a:solidFill>
                              <a:latin typeface="+mn-lt"/>
                              <a:ea typeface="+mn-ea"/>
                              <a:cs typeface="+mn-cs"/>
                            </a:defRPr>
                          </a:lvl7pPr>
                          <a:lvl8pPr marL="3199944" algn="l" defTabSz="914269" rtl="0" eaLnBrk="1" latinLnBrk="0" hangingPunct="1">
                            <a:defRPr sz="2000" b="1" kern="1200">
                              <a:solidFill>
                                <a:schemeClr val="lt1"/>
                              </a:solidFill>
                              <a:latin typeface="+mn-lt"/>
                              <a:ea typeface="+mn-ea"/>
                              <a:cs typeface="+mn-cs"/>
                            </a:defRPr>
                          </a:lvl8pPr>
                          <a:lvl9pPr marL="3657078" algn="l" defTabSz="914269" rtl="0" eaLnBrk="1" latinLnBrk="0" hangingPunct="1">
                            <a:defRPr sz="2000" b="1" kern="1200">
                              <a:solidFill>
                                <a:schemeClr val="lt1"/>
                              </a:solidFill>
                              <a:latin typeface="+mn-lt"/>
                              <a:ea typeface="+mn-ea"/>
                              <a:cs typeface="+mn-cs"/>
                            </a:defRPr>
                          </a:lvl9pPr>
                        </a:lstStyle>
                        <a:p>
                          <a:r>
                            <a:rPr lang="en-US" sz="1200" dirty="0" smtClean="0"/>
                            <a:t>Data Protection</a:t>
                          </a:r>
                        </a:p>
                        <a:p>
                          <a:r>
                            <a:rPr lang="en-US" sz="800" dirty="0" smtClean="0"/>
                            <a:t>System Level</a:t>
                          </a:r>
                        </a:p>
                        <a:p>
                          <a:r>
                            <a:rPr lang="en-US" sz="800" dirty="0" smtClean="0"/>
                            <a:t>Application Level</a:t>
                          </a:r>
                        </a:p>
                        <a:p>
                          <a:r>
                            <a:rPr lang="en-US" sz="800" dirty="0" smtClean="0"/>
                            <a:t>Folder Level</a:t>
                          </a:r>
                        </a:p>
                        <a:p>
                          <a:r>
                            <a:rPr lang="en-US" sz="800" dirty="0" smtClean="0"/>
                            <a:t>File Level</a:t>
                          </a:r>
                        </a:p>
                        <a:p>
                          <a:endParaRPr lang="en-US" sz="800" dirty="0" smtClean="0"/>
                        </a:p>
                      </a:txBody>
                      <a:useSpRect/>
                    </a:txSp>
                    <a:style>
                      <a:lnRef idx="2">
                        <a:schemeClr val="accent6">
                          <a:shade val="50000"/>
                        </a:schemeClr>
                      </a:lnRef>
                      <a:fillRef idx="1">
                        <a:schemeClr val="accent6"/>
                      </a:fillRef>
                      <a:effectRef idx="0">
                        <a:schemeClr val="accent6"/>
                      </a:effectRef>
                      <a:fontRef idx="minor">
                        <a:schemeClr val="lt1"/>
                      </a:fontRef>
                    </a:style>
                  </a:sp>
                  <a:pic>
                    <a:nvPicPr>
                      <a:cNvPr id="21" name="Picture 2" descr="C:\Documents and Settings\Shakeel Rashed\Local Settings\Temporary Internet Files\Content.IE5\MZJSKI25\MCj04348450000[1].png"/>
                      <a:cNvPicPr>
                        <a:picLocks noChangeAspect="1" noChangeArrowheads="1"/>
                      </a:cNvPicPr>
                    </a:nvPicPr>
                    <a:blipFill>
                      <a:blip r:embed="rId21"/>
                      <a:srcRect/>
                      <a:stretch>
                        <a:fillRect/>
                      </a:stretch>
                    </a:blipFill>
                    <a:spPr bwMode="auto">
                      <a:xfrm>
                        <a:off x="4953000" y="4800600"/>
                        <a:ext cx="990600" cy="990600"/>
                      </a:xfrm>
                      <a:prstGeom prst="rect">
                        <a:avLst/>
                      </a:prstGeom>
                      <a:noFill/>
                    </a:spPr>
                  </a:pic>
                  <a:sp>
                    <a:nvSpPr>
                      <a:cNvPr id="32" name="Can 31"/>
                      <a:cNvSpPr/>
                    </a:nvSpPr>
                    <a:spPr bwMode="auto">
                      <a:xfrm>
                        <a:off x="7391400" y="4876800"/>
                        <a:ext cx="533400" cy="685800"/>
                      </a:xfrm>
                      <a:prstGeom prst="can">
                        <a:avLst/>
                      </a:prstGeom>
                      <a:solidFill>
                        <a:schemeClr val="accent1"/>
                      </a:solidFill>
                      <a:ln w="952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eaLnBrk="0" fontAlgn="base" hangingPunct="0">
                            <a:spcBef>
                              <a:spcPct val="0"/>
                            </a:spcBef>
                            <a:spcAft>
                              <a:spcPct val="0"/>
                            </a:spcAft>
                            <a:defRPr sz="2000" b="1" kern="1200">
                              <a:solidFill>
                                <a:schemeClr val="tx1"/>
                              </a:solidFill>
                              <a:latin typeface="Arial" charset="0"/>
                              <a:ea typeface="+mn-ea"/>
                              <a:cs typeface="+mn-cs"/>
                            </a:defRPr>
                          </a:lvl1pPr>
                          <a:lvl2pPr marL="457135" algn="l" rtl="0" eaLnBrk="0" fontAlgn="base" hangingPunct="0">
                            <a:spcBef>
                              <a:spcPct val="0"/>
                            </a:spcBef>
                            <a:spcAft>
                              <a:spcPct val="0"/>
                            </a:spcAft>
                            <a:defRPr sz="2000" b="1" kern="1200">
                              <a:solidFill>
                                <a:schemeClr val="tx1"/>
                              </a:solidFill>
                              <a:latin typeface="Arial" charset="0"/>
                              <a:ea typeface="+mn-ea"/>
                              <a:cs typeface="+mn-cs"/>
                            </a:defRPr>
                          </a:lvl2pPr>
                          <a:lvl3pPr marL="914269" algn="l" rtl="0" eaLnBrk="0" fontAlgn="base" hangingPunct="0">
                            <a:spcBef>
                              <a:spcPct val="0"/>
                            </a:spcBef>
                            <a:spcAft>
                              <a:spcPct val="0"/>
                            </a:spcAft>
                            <a:defRPr sz="2000" b="1" kern="1200">
                              <a:solidFill>
                                <a:schemeClr val="tx1"/>
                              </a:solidFill>
                              <a:latin typeface="Arial" charset="0"/>
                              <a:ea typeface="+mn-ea"/>
                              <a:cs typeface="+mn-cs"/>
                            </a:defRPr>
                          </a:lvl3pPr>
                          <a:lvl4pPr marL="1371404" algn="l" rtl="0" eaLnBrk="0" fontAlgn="base" hangingPunct="0">
                            <a:spcBef>
                              <a:spcPct val="0"/>
                            </a:spcBef>
                            <a:spcAft>
                              <a:spcPct val="0"/>
                            </a:spcAft>
                            <a:defRPr sz="2000" b="1" kern="1200">
                              <a:solidFill>
                                <a:schemeClr val="tx1"/>
                              </a:solidFill>
                              <a:latin typeface="Arial" charset="0"/>
                              <a:ea typeface="+mn-ea"/>
                              <a:cs typeface="+mn-cs"/>
                            </a:defRPr>
                          </a:lvl4pPr>
                          <a:lvl5pPr marL="1828539" algn="l" rtl="0" eaLnBrk="0" fontAlgn="base" hangingPunct="0">
                            <a:spcBef>
                              <a:spcPct val="0"/>
                            </a:spcBef>
                            <a:spcAft>
                              <a:spcPct val="0"/>
                            </a:spcAft>
                            <a:defRPr sz="2000" b="1" kern="1200">
                              <a:solidFill>
                                <a:schemeClr val="tx1"/>
                              </a:solidFill>
                              <a:latin typeface="Arial" charset="0"/>
                              <a:ea typeface="+mn-ea"/>
                              <a:cs typeface="+mn-cs"/>
                            </a:defRPr>
                          </a:lvl5pPr>
                          <a:lvl6pPr marL="2285674" algn="l" defTabSz="914269" rtl="0" eaLnBrk="1" latinLnBrk="0" hangingPunct="1">
                            <a:defRPr sz="2000" b="1" kern="1200">
                              <a:solidFill>
                                <a:schemeClr val="tx1"/>
                              </a:solidFill>
                              <a:latin typeface="Arial" charset="0"/>
                              <a:ea typeface="+mn-ea"/>
                              <a:cs typeface="+mn-cs"/>
                            </a:defRPr>
                          </a:lvl6pPr>
                          <a:lvl7pPr marL="2742809" algn="l" defTabSz="914269" rtl="0" eaLnBrk="1" latinLnBrk="0" hangingPunct="1">
                            <a:defRPr sz="2000" b="1" kern="1200">
                              <a:solidFill>
                                <a:schemeClr val="tx1"/>
                              </a:solidFill>
                              <a:latin typeface="Arial" charset="0"/>
                              <a:ea typeface="+mn-ea"/>
                              <a:cs typeface="+mn-cs"/>
                            </a:defRPr>
                          </a:lvl7pPr>
                          <a:lvl8pPr marL="3199944" algn="l" defTabSz="914269" rtl="0" eaLnBrk="1" latinLnBrk="0" hangingPunct="1">
                            <a:defRPr sz="2000" b="1" kern="1200">
                              <a:solidFill>
                                <a:schemeClr val="tx1"/>
                              </a:solidFill>
                              <a:latin typeface="Arial" charset="0"/>
                              <a:ea typeface="+mn-ea"/>
                              <a:cs typeface="+mn-cs"/>
                            </a:defRPr>
                          </a:lvl8pPr>
                          <a:lvl9pPr marL="3657078" algn="l" defTabSz="914269" rtl="0" eaLnBrk="1" latinLnBrk="0" hangingPunct="1">
                            <a:defRPr sz="2000" b="1"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2000" b="1" i="0" u="none" strike="noStrike" cap="none" normalizeH="0" baseline="0" smtClean="0">
                            <a:ln>
                              <a:noFill/>
                            </a:ln>
                            <a:solidFill>
                              <a:schemeClr val="tx1"/>
                            </a:solidFill>
                            <a:effectLst/>
                            <a:latin typeface="Arial" charset="0"/>
                          </a:endParaRPr>
                        </a:p>
                      </a:txBody>
                      <a:useSpRect/>
                    </a:txSp>
                  </a:sp>
                </lc:lockedCanvas>
              </a:graphicData>
            </a:graphic>
          </wp:inline>
        </w:drawing>
      </w:r>
    </w:p>
    <w:p w:rsidR="007F6686" w:rsidRPr="00B00BED" w:rsidRDefault="007F6686" w:rsidP="00596516">
      <w:r>
        <w:t xml:space="preserve">The Dynamic Data Center will </w:t>
      </w:r>
      <w:r w:rsidR="006D3370">
        <w:t xml:space="preserve">consist </w:t>
      </w:r>
      <w:r>
        <w:t>of the following resources:</w:t>
      </w:r>
    </w:p>
    <w:p w:rsidR="007F6686" w:rsidRPr="00B00BED" w:rsidRDefault="007F6686" w:rsidP="00596516">
      <w:pPr>
        <w:pStyle w:val="ListParagraph"/>
        <w:numPr>
          <w:ilvl w:val="0"/>
          <w:numId w:val="20"/>
        </w:numPr>
      </w:pPr>
      <w:r w:rsidRPr="00596516">
        <w:rPr>
          <w:b/>
        </w:rPr>
        <w:t>Servers:</w:t>
      </w:r>
      <w:r w:rsidRPr="00A278A9">
        <w:t xml:space="preserve"> Servers </w:t>
      </w:r>
      <w:r w:rsidRPr="00B00BED">
        <w:t>in the DDC may vary in characteristics</w:t>
      </w:r>
      <w:r>
        <w:t xml:space="preserve">. For the most part, we envision the </w:t>
      </w:r>
      <w:r w:rsidR="006D3370">
        <w:t>s</w:t>
      </w:r>
      <w:r>
        <w:t xml:space="preserve">ervers to be </w:t>
      </w:r>
      <w:r w:rsidR="006D3370">
        <w:t>v</w:t>
      </w:r>
      <w:r>
        <w:t>irtualized (</w:t>
      </w:r>
      <w:r w:rsidR="008F178B">
        <w:t>g</w:t>
      </w:r>
      <w:r>
        <w:t xml:space="preserve">uest) environments; however, these virtual machines still </w:t>
      </w:r>
      <w:r w:rsidR="00091CF4">
        <w:t>must</w:t>
      </w:r>
      <w:r>
        <w:t xml:space="preserve"> run on </w:t>
      </w:r>
      <w:r w:rsidR="008F178B">
        <w:t>p</w:t>
      </w:r>
      <w:r>
        <w:t xml:space="preserve">hysical </w:t>
      </w:r>
      <w:r w:rsidR="008F178B">
        <w:t>s</w:t>
      </w:r>
      <w:r>
        <w:t>ervers (</w:t>
      </w:r>
      <w:r w:rsidR="00091CF4">
        <w:t xml:space="preserve">known as </w:t>
      </w:r>
      <w:r w:rsidR="008F178B">
        <w:t>h</w:t>
      </w:r>
      <w:r>
        <w:t>osts). The hosts may</w:t>
      </w:r>
      <w:r w:rsidRPr="00B00BED">
        <w:t xml:space="preserve"> include blade servers or standard rack-mounted servers with different amounts of memory, different performance and capacity disks, different number, type, and speed of processors, and so on.</w:t>
      </w:r>
      <w:r>
        <w:t xml:space="preserve"> In a DDC, the provisioning of physical and virtual servers is automated using workflows with minimal human intervention.</w:t>
      </w:r>
    </w:p>
    <w:p w:rsidR="007F6686" w:rsidRDefault="007F6686" w:rsidP="00596516">
      <w:pPr>
        <w:pStyle w:val="ListParagraph"/>
        <w:numPr>
          <w:ilvl w:val="0"/>
          <w:numId w:val="20"/>
        </w:numPr>
      </w:pPr>
      <w:r w:rsidRPr="00596516">
        <w:rPr>
          <w:b/>
        </w:rPr>
        <w:lastRenderedPageBreak/>
        <w:t xml:space="preserve">Network: </w:t>
      </w:r>
      <w:r w:rsidRPr="00B00BED">
        <w:t xml:space="preserve">Network equipment </w:t>
      </w:r>
      <w:r>
        <w:t>may</w:t>
      </w:r>
      <w:r w:rsidRPr="00B00BED">
        <w:t xml:space="preserve"> consist of IP-based load balancers, layer</w:t>
      </w:r>
      <w:r w:rsidRPr="00B00BED">
        <w:noBreakHyphen/>
        <w:t>2 network switches, and firewalls.</w:t>
      </w:r>
      <w:r>
        <w:t xml:space="preserve"> Physical networking switches and other equipment </w:t>
      </w:r>
      <w:r w:rsidR="008F178B">
        <w:t>must</w:t>
      </w:r>
      <w:r>
        <w:t xml:space="preserve"> be managed along with virtual switches that are created between different virtual servers and physical hosts. </w:t>
      </w:r>
    </w:p>
    <w:p w:rsidR="007F6686" w:rsidRPr="00596516" w:rsidRDefault="007F6686" w:rsidP="00596516">
      <w:pPr>
        <w:pStyle w:val="ListParagraph"/>
        <w:numPr>
          <w:ilvl w:val="0"/>
          <w:numId w:val="20"/>
        </w:numPr>
        <w:rPr>
          <w:b/>
        </w:rPr>
      </w:pPr>
      <w:r w:rsidRPr="00596516">
        <w:rPr>
          <w:b/>
        </w:rPr>
        <w:t xml:space="preserve">Storage: </w:t>
      </w:r>
      <w:r>
        <w:t xml:space="preserve">Storage equipment for DDCs will most likely be based on a </w:t>
      </w:r>
      <w:r w:rsidR="008F178B">
        <w:t>s</w:t>
      </w:r>
      <w:r w:rsidRPr="00B00BED">
        <w:t xml:space="preserve">torage </w:t>
      </w:r>
      <w:r w:rsidR="008F178B">
        <w:t>a</w:t>
      </w:r>
      <w:r w:rsidRPr="00B00BED">
        <w:t xml:space="preserve">rea </w:t>
      </w:r>
      <w:r w:rsidR="008F178B">
        <w:t>n</w:t>
      </w:r>
      <w:r w:rsidRPr="00B00BED">
        <w:t xml:space="preserve">etwork (SAN) </w:t>
      </w:r>
      <w:r w:rsidR="008F178B">
        <w:t>d</w:t>
      </w:r>
      <w:r>
        <w:t>evice or any other iSCSI device. In certain low</w:t>
      </w:r>
      <w:r w:rsidR="008F178B">
        <w:t>-</w:t>
      </w:r>
      <w:r>
        <w:t>end configurations</w:t>
      </w:r>
      <w:r w:rsidR="008F178B">
        <w:t>,</w:t>
      </w:r>
      <w:r>
        <w:t xml:space="preserve"> where high-availability is not a requirement, the DDCs may </w:t>
      </w:r>
      <w:r w:rsidR="008F178B">
        <w:t xml:space="preserve">also </w:t>
      </w:r>
      <w:r w:rsidR="00091CF4">
        <w:t>use</w:t>
      </w:r>
      <w:r>
        <w:t xml:space="preserve"> local storage. </w:t>
      </w:r>
    </w:p>
    <w:p w:rsidR="007F6686" w:rsidRDefault="007F6686" w:rsidP="00596516">
      <w:pPr>
        <w:pStyle w:val="ListParagraph"/>
        <w:numPr>
          <w:ilvl w:val="0"/>
          <w:numId w:val="20"/>
        </w:numPr>
      </w:pPr>
      <w:r w:rsidRPr="00596516">
        <w:rPr>
          <w:b/>
        </w:rPr>
        <w:t>Management Appliances:</w:t>
      </w:r>
      <w:r>
        <w:t xml:space="preserve"> Managing the DDC require</w:t>
      </w:r>
      <w:r w:rsidR="002214ED">
        <w:t>s</w:t>
      </w:r>
      <w:r>
        <w:t xml:space="preserve"> a management fabric that, for the most part</w:t>
      </w:r>
      <w:r w:rsidR="008F178B">
        <w:t>,</w:t>
      </w:r>
      <w:r>
        <w:t xml:space="preserve"> automates the day</w:t>
      </w:r>
      <w:r w:rsidR="008F178B">
        <w:t>-</w:t>
      </w:r>
      <w:r>
        <w:t>to</w:t>
      </w:r>
      <w:r w:rsidR="008F178B">
        <w:t>-</w:t>
      </w:r>
      <w:r>
        <w:t xml:space="preserve">day operations. The management tools </w:t>
      </w:r>
      <w:r w:rsidR="008F178B">
        <w:t>must</w:t>
      </w:r>
      <w:r>
        <w:t xml:space="preserve"> address the different “abilities” that are expected of the DDC. </w:t>
      </w:r>
      <w:r w:rsidRPr="0027652D">
        <w:t>Microsoft</w:t>
      </w:r>
      <w:r w:rsidR="005011E7" w:rsidRPr="00596516">
        <w:t>®</w:t>
      </w:r>
      <w:r w:rsidRPr="0027652D">
        <w:t xml:space="preserve"> System Center </w:t>
      </w:r>
      <w:r w:rsidR="008F178B">
        <w:t>s</w:t>
      </w:r>
      <w:r w:rsidRPr="0027652D">
        <w:t>olutions for data center management enable data center managers to optimize resources, improve the visibility of IT assets and issues, and meet service levels, all while decreasing costs.</w:t>
      </w:r>
    </w:p>
    <w:p w:rsidR="007F6686" w:rsidRDefault="007F6686" w:rsidP="00596516">
      <w:r>
        <w:t>In a Dynamic Data Center, all resources</w:t>
      </w:r>
      <w:r w:rsidR="002214ED">
        <w:t>,</w:t>
      </w:r>
      <w:r>
        <w:t xml:space="preserve"> such as </w:t>
      </w:r>
      <w:r w:rsidR="008F178B">
        <w:t>s</w:t>
      </w:r>
      <w:r>
        <w:t xml:space="preserve">ervers, </w:t>
      </w:r>
      <w:r w:rsidR="008F178B">
        <w:t>n</w:t>
      </w:r>
      <w:r>
        <w:t>etwork</w:t>
      </w:r>
      <w:r w:rsidR="008F178B">
        <w:t>s,</w:t>
      </w:r>
      <w:r>
        <w:t xml:space="preserve"> and </w:t>
      </w:r>
      <w:r w:rsidR="008F178B">
        <w:t>s</w:t>
      </w:r>
      <w:r>
        <w:t>torage</w:t>
      </w:r>
      <w:r w:rsidR="002214ED">
        <w:t>,</w:t>
      </w:r>
      <w:r>
        <w:t xml:space="preserve"> </w:t>
      </w:r>
      <w:r w:rsidR="008F178B">
        <w:t>are</w:t>
      </w:r>
      <w:r>
        <w:t xml:space="preserve"> provisioned and allocated using automated workflows with minimal human intervention. The monitoring of these resources </w:t>
      </w:r>
      <w:r w:rsidR="008F178B">
        <w:t>is</w:t>
      </w:r>
      <w:r>
        <w:t xml:space="preserve"> performed by </w:t>
      </w:r>
      <w:r w:rsidR="008F178B">
        <w:t>m</w:t>
      </w:r>
      <w:r>
        <w:t xml:space="preserve">anagement </w:t>
      </w:r>
      <w:r w:rsidR="008F178B">
        <w:t>a</w:t>
      </w:r>
      <w:r>
        <w:t xml:space="preserve">ppliances </w:t>
      </w:r>
      <w:r w:rsidR="00091CF4">
        <w:t>continuously</w:t>
      </w:r>
      <w:r>
        <w:t>. The monitoring appliances can provide rule</w:t>
      </w:r>
      <w:r w:rsidR="008F178B">
        <w:t>-</w:t>
      </w:r>
      <w:r>
        <w:t>based actions to deal with exceptions or generate alerts to attract operator attention.</w:t>
      </w:r>
    </w:p>
    <w:p w:rsidR="007F6686" w:rsidRDefault="007F6686" w:rsidP="00596516"/>
    <w:p w:rsidR="007F6686" w:rsidRDefault="007F6686" w:rsidP="0056008D">
      <w:pPr>
        <w:pStyle w:val="NumHeading1"/>
      </w:pPr>
      <w:bookmarkStart w:id="7" w:name="_Toc234056384"/>
      <w:bookmarkStart w:id="8" w:name="_Toc234056644"/>
      <w:r>
        <w:t xml:space="preserve">Services of a </w:t>
      </w:r>
      <w:r w:rsidRPr="0056008D">
        <w:t>Dynamic</w:t>
      </w:r>
      <w:r>
        <w:t xml:space="preserve"> Data Center</w:t>
      </w:r>
      <w:bookmarkEnd w:id="7"/>
      <w:bookmarkEnd w:id="8"/>
    </w:p>
    <w:p w:rsidR="007F6686" w:rsidRPr="00887855" w:rsidRDefault="007F6686" w:rsidP="00596516">
      <w:r w:rsidRPr="00887855">
        <w:t xml:space="preserve">A </w:t>
      </w:r>
      <w:r w:rsidR="00317903" w:rsidRPr="00887855">
        <w:t>hosting provider expects the previously mentioned resources in a Dynamic Data Center to work seamlessly and provide the following services:</w:t>
      </w:r>
    </w:p>
    <w:p w:rsidR="007F6686" w:rsidRPr="00887855" w:rsidRDefault="00317903" w:rsidP="00596516">
      <w:pPr>
        <w:pStyle w:val="ListParagraph"/>
        <w:numPr>
          <w:ilvl w:val="0"/>
          <w:numId w:val="21"/>
        </w:numPr>
      </w:pPr>
      <w:r w:rsidRPr="00887855">
        <w:t>Provisioning:</w:t>
      </w:r>
    </w:p>
    <w:p w:rsidR="00317903" w:rsidRPr="00887855" w:rsidRDefault="00317903" w:rsidP="00596516">
      <w:pPr>
        <w:pStyle w:val="ListParagraph"/>
        <w:numPr>
          <w:ilvl w:val="1"/>
          <w:numId w:val="21"/>
        </w:numPr>
      </w:pPr>
      <w:r w:rsidRPr="00887855">
        <w:t>Automated provisioning of servers (virtual and physical)</w:t>
      </w:r>
    </w:p>
    <w:p w:rsidR="00317903" w:rsidRPr="00887855" w:rsidRDefault="007F6686" w:rsidP="00596516">
      <w:pPr>
        <w:pStyle w:val="ListParagraph"/>
        <w:numPr>
          <w:ilvl w:val="1"/>
          <w:numId w:val="21"/>
        </w:numPr>
      </w:pPr>
      <w:r w:rsidRPr="00887855">
        <w:t>Manage</w:t>
      </w:r>
      <w:r w:rsidR="00317903" w:rsidRPr="00887855">
        <w:t>ment of configuration settings of virtual servers</w:t>
      </w:r>
    </w:p>
    <w:p w:rsidR="00317903" w:rsidRPr="00887855" w:rsidRDefault="00317903" w:rsidP="00596516">
      <w:pPr>
        <w:pStyle w:val="ListParagraph"/>
        <w:numPr>
          <w:ilvl w:val="1"/>
          <w:numId w:val="21"/>
        </w:numPr>
      </w:pPr>
      <w:r w:rsidRPr="00887855">
        <w:t>Provisioning of network switches and creating load-balanced farms of virtual servers</w:t>
      </w:r>
    </w:p>
    <w:p w:rsidR="00317903" w:rsidRPr="00887855" w:rsidRDefault="00317903" w:rsidP="00596516">
      <w:pPr>
        <w:pStyle w:val="ListParagraph"/>
        <w:numPr>
          <w:ilvl w:val="1"/>
          <w:numId w:val="21"/>
        </w:numPr>
      </w:pPr>
      <w:r w:rsidRPr="00887855">
        <w:t>Auto-placement of virtual servers and the best available physical server in the environment</w:t>
      </w:r>
    </w:p>
    <w:p w:rsidR="00317903" w:rsidRPr="00887855" w:rsidRDefault="00317903" w:rsidP="00596516">
      <w:pPr>
        <w:pStyle w:val="ListParagraph"/>
        <w:numPr>
          <w:ilvl w:val="1"/>
          <w:numId w:val="21"/>
        </w:numPr>
      </w:pPr>
      <w:r w:rsidRPr="00887855">
        <w:t>Creation and management of templates that are used to create instances of virtual servers</w:t>
      </w:r>
    </w:p>
    <w:p w:rsidR="00317903" w:rsidRPr="00887855" w:rsidRDefault="00317903" w:rsidP="00596516">
      <w:pPr>
        <w:pStyle w:val="ListParagraph"/>
        <w:numPr>
          <w:ilvl w:val="1"/>
          <w:numId w:val="21"/>
        </w:numPr>
      </w:pPr>
      <w:r w:rsidRPr="00887855">
        <w:t>Creation and management of system images that are used to create instances of physical servers</w:t>
      </w:r>
    </w:p>
    <w:p w:rsidR="007F6686" w:rsidRPr="00596516" w:rsidRDefault="00317903" w:rsidP="00596516">
      <w:pPr>
        <w:pStyle w:val="ListParagraph"/>
        <w:numPr>
          <w:ilvl w:val="0"/>
          <w:numId w:val="21"/>
        </w:numPr>
      </w:pPr>
      <w:r w:rsidRPr="00596516">
        <w:t>Backups and restores:</w:t>
      </w:r>
    </w:p>
    <w:p w:rsidR="007F6686" w:rsidRPr="00596516" w:rsidRDefault="00317903" w:rsidP="00596516">
      <w:pPr>
        <w:pStyle w:val="ListParagraph"/>
        <w:numPr>
          <w:ilvl w:val="1"/>
          <w:numId w:val="21"/>
        </w:numPr>
      </w:pPr>
      <w:r w:rsidRPr="00596516">
        <w:t>Backups and restores of individual files and folders within all servers</w:t>
      </w:r>
    </w:p>
    <w:p w:rsidR="007F6686" w:rsidRPr="00596516" w:rsidRDefault="00317903" w:rsidP="00596516">
      <w:pPr>
        <w:pStyle w:val="ListParagraph"/>
        <w:numPr>
          <w:ilvl w:val="1"/>
          <w:numId w:val="21"/>
        </w:numPr>
      </w:pPr>
      <w:r w:rsidRPr="00596516">
        <w:t>Backups and restores of entire servers</w:t>
      </w:r>
    </w:p>
    <w:p w:rsidR="007F6686" w:rsidRPr="00596516" w:rsidRDefault="00317903" w:rsidP="00596516">
      <w:pPr>
        <w:pStyle w:val="ListParagraph"/>
        <w:numPr>
          <w:ilvl w:val="1"/>
          <w:numId w:val="21"/>
        </w:numPr>
      </w:pPr>
      <w:r w:rsidRPr="00596516">
        <w:t>Backups and restores of computers that are running Microsoft SQL Server®</w:t>
      </w:r>
    </w:p>
    <w:p w:rsidR="007F6686" w:rsidRPr="00596516" w:rsidRDefault="00317903" w:rsidP="00596516">
      <w:pPr>
        <w:pStyle w:val="ListParagraph"/>
        <w:numPr>
          <w:ilvl w:val="1"/>
          <w:numId w:val="21"/>
        </w:numPr>
      </w:pPr>
      <w:r w:rsidRPr="00596516">
        <w:t>Ability to roll back changes made in servers</w:t>
      </w:r>
    </w:p>
    <w:p w:rsidR="007F6686" w:rsidRPr="00596516" w:rsidRDefault="00317903" w:rsidP="00596516">
      <w:pPr>
        <w:pStyle w:val="ListParagraph"/>
        <w:numPr>
          <w:ilvl w:val="0"/>
          <w:numId w:val="21"/>
        </w:numPr>
      </w:pPr>
      <w:r w:rsidRPr="00596516">
        <w:t xml:space="preserve">Monitoring: </w:t>
      </w:r>
    </w:p>
    <w:p w:rsidR="00317903" w:rsidRPr="00596516" w:rsidRDefault="00317903" w:rsidP="00596516">
      <w:pPr>
        <w:pStyle w:val="ListParagraph"/>
        <w:numPr>
          <w:ilvl w:val="1"/>
          <w:numId w:val="21"/>
        </w:numPr>
      </w:pPr>
      <w:r w:rsidRPr="00596516">
        <w:t xml:space="preserve">Monitoring of status of key services on individual (or collection of) servers </w:t>
      </w:r>
    </w:p>
    <w:p w:rsidR="00317903" w:rsidRPr="00596516" w:rsidRDefault="00317903" w:rsidP="00596516">
      <w:pPr>
        <w:pStyle w:val="ListParagraph"/>
        <w:numPr>
          <w:ilvl w:val="1"/>
          <w:numId w:val="21"/>
        </w:numPr>
      </w:pPr>
      <w:r w:rsidRPr="00596516">
        <w:t>Tracking events and logs being generated on servers</w:t>
      </w:r>
    </w:p>
    <w:p w:rsidR="00317903" w:rsidRPr="00596516" w:rsidRDefault="00317903" w:rsidP="00596516">
      <w:pPr>
        <w:pStyle w:val="ListParagraph"/>
        <w:numPr>
          <w:ilvl w:val="1"/>
          <w:numId w:val="21"/>
        </w:numPr>
      </w:pPr>
      <w:r w:rsidRPr="00596516">
        <w:t>Tracking performance counters to measure and optimize use of systems</w:t>
      </w:r>
    </w:p>
    <w:p w:rsidR="00317903" w:rsidRPr="00596516" w:rsidRDefault="00317903" w:rsidP="00596516">
      <w:pPr>
        <w:pStyle w:val="ListParagraph"/>
        <w:numPr>
          <w:ilvl w:val="1"/>
          <w:numId w:val="21"/>
        </w:numPr>
      </w:pPr>
      <w:r w:rsidRPr="00596516">
        <w:t>Generating notifications based on predefined rules for events or counters</w:t>
      </w:r>
    </w:p>
    <w:p w:rsidR="007F6686" w:rsidRPr="00596516" w:rsidRDefault="00317903" w:rsidP="00596516">
      <w:pPr>
        <w:pStyle w:val="ListParagraph"/>
        <w:numPr>
          <w:ilvl w:val="0"/>
          <w:numId w:val="21"/>
        </w:numPr>
      </w:pPr>
      <w:r w:rsidRPr="00596516">
        <w:t>Configuration management:</w:t>
      </w:r>
    </w:p>
    <w:p w:rsidR="00317903" w:rsidRPr="00596516" w:rsidRDefault="00317903" w:rsidP="00596516">
      <w:pPr>
        <w:pStyle w:val="ListParagraph"/>
        <w:numPr>
          <w:ilvl w:val="1"/>
          <w:numId w:val="21"/>
        </w:numPr>
      </w:pPr>
      <w:r w:rsidRPr="00596516">
        <w:lastRenderedPageBreak/>
        <w:t>Tracking hardware assets and software licenses (and configuration items in environment)</w:t>
      </w:r>
    </w:p>
    <w:p w:rsidR="00317903" w:rsidRPr="00596516" w:rsidRDefault="00317903" w:rsidP="00596516">
      <w:pPr>
        <w:pStyle w:val="ListParagraph"/>
        <w:numPr>
          <w:ilvl w:val="1"/>
          <w:numId w:val="21"/>
        </w:numPr>
      </w:pPr>
      <w:r w:rsidRPr="00596516">
        <w:t>Management of software updates (by customized update schedules)</w:t>
      </w:r>
    </w:p>
    <w:p w:rsidR="00317903" w:rsidRPr="00596516" w:rsidRDefault="00317903" w:rsidP="00596516">
      <w:pPr>
        <w:pStyle w:val="ListParagraph"/>
        <w:numPr>
          <w:ilvl w:val="1"/>
          <w:numId w:val="21"/>
        </w:numPr>
      </w:pPr>
      <w:r w:rsidRPr="00596516">
        <w:t>Defining and using desired configurations for servers</w:t>
      </w:r>
    </w:p>
    <w:p w:rsidR="00317903" w:rsidRPr="00596516" w:rsidRDefault="00317903" w:rsidP="00596516">
      <w:pPr>
        <w:pStyle w:val="ListParagraph"/>
        <w:numPr>
          <w:ilvl w:val="1"/>
          <w:numId w:val="21"/>
        </w:numPr>
      </w:pPr>
      <w:r w:rsidRPr="00596516">
        <w:t>Generating reports of installed software, updates, pending actions, and so on</w:t>
      </w:r>
    </w:p>
    <w:p w:rsidR="00317903" w:rsidRPr="00596516" w:rsidRDefault="00317903" w:rsidP="00596516">
      <w:pPr>
        <w:pStyle w:val="ListParagraph"/>
        <w:numPr>
          <w:ilvl w:val="1"/>
          <w:numId w:val="21"/>
        </w:numPr>
      </w:pPr>
      <w:r w:rsidRPr="00596516">
        <w:t>Installing applications, such as Internet Information Services (IIS), SQL Server, and others</w:t>
      </w:r>
      <w:r w:rsidR="005011E7" w:rsidRPr="00596516">
        <w:t>,</w:t>
      </w:r>
      <w:r w:rsidRPr="00596516">
        <w:t xml:space="preserve"> during maintenance windows</w:t>
      </w:r>
    </w:p>
    <w:p w:rsidR="007F6686" w:rsidRPr="00596516" w:rsidRDefault="00317903" w:rsidP="00596516">
      <w:pPr>
        <w:pStyle w:val="ListParagraph"/>
        <w:numPr>
          <w:ilvl w:val="0"/>
          <w:numId w:val="21"/>
        </w:numPr>
      </w:pPr>
      <w:r w:rsidRPr="00596516">
        <w:t>Security:</w:t>
      </w:r>
    </w:p>
    <w:p w:rsidR="00317903" w:rsidRPr="00596516" w:rsidRDefault="00317903" w:rsidP="00596516">
      <w:pPr>
        <w:pStyle w:val="ListParagraph"/>
        <w:numPr>
          <w:ilvl w:val="1"/>
          <w:numId w:val="21"/>
        </w:numPr>
      </w:pPr>
      <w:r w:rsidRPr="00596516">
        <w:t>Server-level security to isolate and contain customers within their own virtual servers and prevent access to other virtual servers running on the same hosts</w:t>
      </w:r>
    </w:p>
    <w:p w:rsidR="00317903" w:rsidRPr="00596516" w:rsidRDefault="00317903" w:rsidP="00596516">
      <w:pPr>
        <w:pStyle w:val="ListParagraph"/>
        <w:numPr>
          <w:ilvl w:val="1"/>
          <w:numId w:val="21"/>
        </w:numPr>
      </w:pPr>
      <w:r w:rsidRPr="00596516">
        <w:t xml:space="preserve">Network-level security to provide isolation and protection of networks from attacks triggered from within a guest by a malicious user. </w:t>
      </w:r>
    </w:p>
    <w:p w:rsidR="007F6686" w:rsidRPr="00596516" w:rsidRDefault="00317903" w:rsidP="00596516">
      <w:pPr>
        <w:pStyle w:val="ListParagraph"/>
        <w:numPr>
          <w:ilvl w:val="0"/>
          <w:numId w:val="21"/>
        </w:numPr>
      </w:pPr>
      <w:r w:rsidRPr="00596516">
        <w:t>Increasing availability to end customers:</w:t>
      </w:r>
    </w:p>
    <w:p w:rsidR="00317903" w:rsidRPr="00596516" w:rsidRDefault="00317903" w:rsidP="00596516">
      <w:pPr>
        <w:pStyle w:val="ListParagraph"/>
        <w:numPr>
          <w:ilvl w:val="1"/>
          <w:numId w:val="21"/>
        </w:numPr>
      </w:pPr>
      <w:r w:rsidRPr="00596516">
        <w:t>Creation of a clustered environment to host virtual servers (including use of shared storage to support clustered servers)</w:t>
      </w:r>
    </w:p>
    <w:p w:rsidR="00317903" w:rsidRPr="00596516" w:rsidRDefault="00317903" w:rsidP="00596516">
      <w:pPr>
        <w:pStyle w:val="ListParagraph"/>
        <w:numPr>
          <w:ilvl w:val="1"/>
          <w:numId w:val="21"/>
        </w:numPr>
      </w:pPr>
      <w:r w:rsidRPr="00596516">
        <w:t>Ability to gracefully failover a guest server to a new physical server</w:t>
      </w:r>
    </w:p>
    <w:p w:rsidR="00317903" w:rsidRPr="00596516" w:rsidRDefault="00317903" w:rsidP="00596516">
      <w:pPr>
        <w:pStyle w:val="ListParagraph"/>
        <w:numPr>
          <w:ilvl w:val="1"/>
          <w:numId w:val="21"/>
        </w:numPr>
      </w:pPr>
      <w:r w:rsidRPr="00596516">
        <w:t>Ability to upgrade physical servers by forcing a move of guests virtual machines (VMs) to another server</w:t>
      </w:r>
    </w:p>
    <w:p w:rsidR="007F6686" w:rsidRDefault="007F6686" w:rsidP="0056008D">
      <w:pPr>
        <w:pStyle w:val="NumHeading1"/>
      </w:pPr>
      <w:bookmarkStart w:id="9" w:name="_Toc234056385"/>
      <w:bookmarkStart w:id="10" w:name="_Toc234056645"/>
      <w:r>
        <w:t>DDC Guidance from Microsoft</w:t>
      </w:r>
      <w:bookmarkEnd w:id="9"/>
      <w:bookmarkEnd w:id="10"/>
    </w:p>
    <w:p w:rsidR="007F6686" w:rsidRPr="00887855" w:rsidRDefault="009D62DD" w:rsidP="00596516">
      <w:r w:rsidRPr="00887855">
        <w:t>T</w:t>
      </w:r>
      <w:r w:rsidR="007F6686" w:rsidRPr="00887855">
        <w:t xml:space="preserve">o </w:t>
      </w:r>
      <w:r w:rsidR="00681D14" w:rsidRPr="00887855">
        <w:t>make it easier for hosting providers to create</w:t>
      </w:r>
      <w:r w:rsidR="007F6686" w:rsidRPr="00887855">
        <w:t xml:space="preserve"> Dynamic Data Centers, Microsoft is pleased to provide a set of document</w:t>
      </w:r>
      <w:r w:rsidR="00281A06" w:rsidRPr="00887855">
        <w:t>s</w:t>
      </w:r>
      <w:r w:rsidR="007F6686" w:rsidRPr="00887855">
        <w:t xml:space="preserve"> and code samples that will serve as guidelines and best practices. This collateral is made available in the </w:t>
      </w:r>
      <w:r w:rsidR="002E637B" w:rsidRPr="00887855">
        <w:t>Dynamic Data Center Toolkit</w:t>
      </w:r>
      <w:r w:rsidRPr="00887855">
        <w:t xml:space="preserve"> for Hosters</w:t>
      </w:r>
      <w:r w:rsidR="007F6686" w:rsidRPr="00887855">
        <w:t>. The set of documents provided is as follows:</w:t>
      </w:r>
    </w:p>
    <w:p w:rsidR="007F6686" w:rsidRPr="00596516" w:rsidRDefault="007F6686" w:rsidP="00596516">
      <w:pPr>
        <w:pStyle w:val="ListParagraph"/>
        <w:numPr>
          <w:ilvl w:val="0"/>
          <w:numId w:val="21"/>
        </w:numPr>
      </w:pPr>
      <w:r w:rsidRPr="00596516">
        <w:t>Bare</w:t>
      </w:r>
      <w:r w:rsidR="009D62DD" w:rsidRPr="00596516">
        <w:t>-</w:t>
      </w:r>
      <w:r w:rsidRPr="00596516">
        <w:t>metal provisioning of Windows Server 2008 to host virtual environments</w:t>
      </w:r>
    </w:p>
    <w:p w:rsidR="007F6686" w:rsidRPr="00596516" w:rsidRDefault="007F6686" w:rsidP="00596516">
      <w:pPr>
        <w:pStyle w:val="ListParagraph"/>
        <w:numPr>
          <w:ilvl w:val="0"/>
          <w:numId w:val="21"/>
        </w:numPr>
      </w:pPr>
      <w:r w:rsidRPr="00596516">
        <w:t xml:space="preserve">Provisioning a </w:t>
      </w:r>
      <w:r w:rsidR="009D62DD" w:rsidRPr="00596516">
        <w:t>v</w:t>
      </w:r>
      <w:r w:rsidRPr="00596516">
        <w:t xml:space="preserve">irtual </w:t>
      </w:r>
      <w:r w:rsidR="009D62DD" w:rsidRPr="00596516">
        <w:t>e</w:t>
      </w:r>
      <w:r w:rsidRPr="00596516">
        <w:t>nvironment (using Hyper-V)</w:t>
      </w:r>
      <w:r w:rsidR="00B444B4" w:rsidRPr="00596516">
        <w:t>.</w:t>
      </w:r>
      <w:r w:rsidRPr="00596516">
        <w:t xml:space="preserve"> This </w:t>
      </w:r>
      <w:r w:rsidR="009D62DD" w:rsidRPr="00596516">
        <w:t>d</w:t>
      </w:r>
      <w:r w:rsidRPr="00596516">
        <w:t>ocument outlines:</w:t>
      </w:r>
    </w:p>
    <w:p w:rsidR="007F6686" w:rsidRPr="00596516" w:rsidRDefault="007F6686" w:rsidP="00596516">
      <w:pPr>
        <w:pStyle w:val="ListParagraph"/>
        <w:numPr>
          <w:ilvl w:val="1"/>
          <w:numId w:val="21"/>
        </w:numPr>
      </w:pPr>
      <w:r w:rsidRPr="00596516">
        <w:t>Configurations to deploy a virtual infrastructure based on Windows Server 2008 Hyper-</w:t>
      </w:r>
      <w:r w:rsidR="009D62DD" w:rsidRPr="00596516">
        <w:t>V</w:t>
      </w:r>
      <w:r w:rsidR="00B444B4" w:rsidRPr="00596516">
        <w:t>.</w:t>
      </w:r>
    </w:p>
    <w:p w:rsidR="007F6686" w:rsidRPr="00596516" w:rsidRDefault="007F6686" w:rsidP="00596516">
      <w:pPr>
        <w:pStyle w:val="ListParagraph"/>
        <w:numPr>
          <w:ilvl w:val="1"/>
          <w:numId w:val="21"/>
        </w:numPr>
      </w:pPr>
      <w:r w:rsidRPr="00596516">
        <w:t xml:space="preserve">Configuring </w:t>
      </w:r>
      <w:r w:rsidR="00DC3628" w:rsidRPr="00596516">
        <w:t xml:space="preserve">the </w:t>
      </w:r>
      <w:r w:rsidR="009D62DD" w:rsidRPr="00596516">
        <w:t>Active Directory</w:t>
      </w:r>
      <w:r w:rsidR="00317903" w:rsidRPr="00596516">
        <w:t>®</w:t>
      </w:r>
      <w:r w:rsidR="009D62DD" w:rsidRPr="00596516">
        <w:t xml:space="preserve"> </w:t>
      </w:r>
      <w:r w:rsidR="00DC3628" w:rsidRPr="00596516">
        <w:t xml:space="preserve">service </w:t>
      </w:r>
      <w:r w:rsidRPr="00596516">
        <w:t xml:space="preserve">to </w:t>
      </w:r>
      <w:r w:rsidR="00681D14" w:rsidRPr="00596516">
        <w:t>make it easier to create</w:t>
      </w:r>
      <w:r w:rsidRPr="00596516">
        <w:t xml:space="preserve"> a multi-tenant environment</w:t>
      </w:r>
      <w:r w:rsidR="00B444B4" w:rsidRPr="00596516">
        <w:t>.</w:t>
      </w:r>
    </w:p>
    <w:p w:rsidR="007F6686" w:rsidRPr="00596516" w:rsidRDefault="007F6686" w:rsidP="00596516">
      <w:pPr>
        <w:pStyle w:val="ListParagraph"/>
        <w:numPr>
          <w:ilvl w:val="1"/>
          <w:numId w:val="21"/>
        </w:numPr>
      </w:pPr>
      <w:r w:rsidRPr="00596516">
        <w:t>Securing the environment</w:t>
      </w:r>
      <w:r w:rsidR="00B444B4" w:rsidRPr="00596516">
        <w:t>.</w:t>
      </w:r>
    </w:p>
    <w:p w:rsidR="007F6686" w:rsidRPr="00596516" w:rsidRDefault="007F6686" w:rsidP="00596516">
      <w:pPr>
        <w:pStyle w:val="ListParagraph"/>
        <w:numPr>
          <w:ilvl w:val="1"/>
          <w:numId w:val="21"/>
        </w:numPr>
      </w:pPr>
      <w:r w:rsidRPr="00596516">
        <w:t xml:space="preserve">Managing the </w:t>
      </w:r>
      <w:r w:rsidR="00DC3628" w:rsidRPr="00596516">
        <w:t>v</w:t>
      </w:r>
      <w:r w:rsidRPr="00596516">
        <w:t xml:space="preserve">irtual </w:t>
      </w:r>
      <w:r w:rsidR="00DC3628" w:rsidRPr="00596516">
        <w:t>e</w:t>
      </w:r>
      <w:r w:rsidRPr="00596516">
        <w:t>nvironment using System Center Virtual Machine Manager</w:t>
      </w:r>
      <w:r w:rsidR="00B444B4" w:rsidRPr="00596516">
        <w:t>.</w:t>
      </w:r>
    </w:p>
    <w:p w:rsidR="007F6686" w:rsidRPr="00596516" w:rsidRDefault="007F6686" w:rsidP="00596516">
      <w:pPr>
        <w:pStyle w:val="ListParagraph"/>
        <w:numPr>
          <w:ilvl w:val="1"/>
          <w:numId w:val="21"/>
        </w:numPr>
      </w:pPr>
      <w:r w:rsidRPr="00596516">
        <w:t>Best practices to configure and use V</w:t>
      </w:r>
      <w:r w:rsidR="00DC3628" w:rsidRPr="00596516">
        <w:t xml:space="preserve">irtual </w:t>
      </w:r>
      <w:r w:rsidRPr="00596516">
        <w:t>M</w:t>
      </w:r>
      <w:r w:rsidR="00DC3628" w:rsidRPr="00596516">
        <w:t xml:space="preserve">achine </w:t>
      </w:r>
      <w:r w:rsidRPr="00596516">
        <w:t>M</w:t>
      </w:r>
      <w:r w:rsidR="00DC3628" w:rsidRPr="00596516">
        <w:t>anager</w:t>
      </w:r>
      <w:r w:rsidR="00B444B4" w:rsidRPr="00596516">
        <w:t>.</w:t>
      </w:r>
    </w:p>
    <w:p w:rsidR="007F6686" w:rsidRPr="00596516" w:rsidRDefault="007F6686" w:rsidP="00596516">
      <w:pPr>
        <w:pStyle w:val="ListParagraph"/>
        <w:numPr>
          <w:ilvl w:val="1"/>
          <w:numId w:val="21"/>
        </w:numPr>
      </w:pPr>
      <w:r w:rsidRPr="00596516">
        <w:t xml:space="preserve">Capacity </w:t>
      </w:r>
      <w:r w:rsidR="00DC3628" w:rsidRPr="00596516">
        <w:t>p</w:t>
      </w:r>
      <w:r w:rsidRPr="00596516">
        <w:t>lanning</w:t>
      </w:r>
      <w:r w:rsidR="00B444B4" w:rsidRPr="00596516">
        <w:t>.</w:t>
      </w:r>
    </w:p>
    <w:p w:rsidR="007F6686" w:rsidRPr="00596516" w:rsidRDefault="007F6686" w:rsidP="00596516">
      <w:pPr>
        <w:pStyle w:val="ListParagraph"/>
        <w:numPr>
          <w:ilvl w:val="0"/>
          <w:numId w:val="21"/>
        </w:numPr>
      </w:pPr>
      <w:r w:rsidRPr="00596516">
        <w:t>Installing and configuring System Center to manage your virtual environment</w:t>
      </w:r>
    </w:p>
    <w:p w:rsidR="007F6686" w:rsidRPr="00596516" w:rsidRDefault="007F6686" w:rsidP="00596516">
      <w:pPr>
        <w:pStyle w:val="ListParagraph"/>
        <w:numPr>
          <w:ilvl w:val="0"/>
          <w:numId w:val="21"/>
        </w:numPr>
      </w:pPr>
      <w:r w:rsidRPr="00596516">
        <w:t xml:space="preserve">Leveraging System Center Data Protection Manager to </w:t>
      </w:r>
      <w:proofErr w:type="spellStart"/>
      <w:r w:rsidRPr="00596516">
        <w:t>back</w:t>
      </w:r>
      <w:r w:rsidR="00681D14" w:rsidRPr="00596516">
        <w:t xml:space="preserve"> </w:t>
      </w:r>
      <w:r w:rsidRPr="00596516">
        <w:t>up</w:t>
      </w:r>
      <w:proofErr w:type="spellEnd"/>
      <w:r w:rsidRPr="00596516">
        <w:t>/restore the virtual environments in a delegated administration model</w:t>
      </w:r>
    </w:p>
    <w:p w:rsidR="007F6686" w:rsidRPr="00596516" w:rsidRDefault="007F6686" w:rsidP="00596516">
      <w:pPr>
        <w:pStyle w:val="ListParagraph"/>
        <w:numPr>
          <w:ilvl w:val="0"/>
          <w:numId w:val="21"/>
        </w:numPr>
      </w:pPr>
      <w:r w:rsidRPr="00596516">
        <w:t>Configure System Center Configuration Manager to:</w:t>
      </w:r>
    </w:p>
    <w:p w:rsidR="007F6686" w:rsidRPr="00596516" w:rsidRDefault="007F6686" w:rsidP="00596516">
      <w:pPr>
        <w:pStyle w:val="ListParagraph"/>
        <w:numPr>
          <w:ilvl w:val="1"/>
          <w:numId w:val="21"/>
        </w:numPr>
      </w:pPr>
      <w:r w:rsidRPr="00596516">
        <w:t>Perform updates on demand</w:t>
      </w:r>
      <w:r w:rsidR="00B444B4" w:rsidRPr="00596516">
        <w:t>.</w:t>
      </w:r>
    </w:p>
    <w:p w:rsidR="007F6686" w:rsidRPr="00596516" w:rsidRDefault="007F6686" w:rsidP="00596516">
      <w:pPr>
        <w:pStyle w:val="ListParagraph"/>
        <w:numPr>
          <w:ilvl w:val="1"/>
          <w:numId w:val="21"/>
        </w:numPr>
      </w:pPr>
      <w:r w:rsidRPr="00596516">
        <w:t>Track inventory</w:t>
      </w:r>
      <w:r w:rsidR="00B444B4" w:rsidRPr="00596516">
        <w:t>.</w:t>
      </w:r>
    </w:p>
    <w:p w:rsidR="007F6686" w:rsidRPr="00596516" w:rsidRDefault="007F6686" w:rsidP="00596516">
      <w:pPr>
        <w:pStyle w:val="ListParagraph"/>
        <w:numPr>
          <w:ilvl w:val="1"/>
          <w:numId w:val="21"/>
        </w:numPr>
      </w:pPr>
      <w:r w:rsidRPr="00596516">
        <w:t xml:space="preserve">Push out standard configurations </w:t>
      </w:r>
      <w:r w:rsidR="00DC3628" w:rsidRPr="00596516">
        <w:t>and</w:t>
      </w:r>
      <w:r w:rsidRPr="00596516">
        <w:t xml:space="preserve"> software</w:t>
      </w:r>
      <w:r w:rsidR="00B444B4" w:rsidRPr="00596516">
        <w:t>.</w:t>
      </w:r>
    </w:p>
    <w:p w:rsidR="007F6686" w:rsidRPr="00596516" w:rsidRDefault="007F6686" w:rsidP="00596516">
      <w:pPr>
        <w:pStyle w:val="ListParagraph"/>
        <w:numPr>
          <w:ilvl w:val="0"/>
          <w:numId w:val="21"/>
        </w:numPr>
      </w:pPr>
      <w:r w:rsidRPr="00596516">
        <w:lastRenderedPageBreak/>
        <w:t>Configure System Center Operations Manager to monitor and alert individual end customers based on policies</w:t>
      </w:r>
    </w:p>
    <w:p w:rsidR="007F6686" w:rsidRPr="00887855" w:rsidRDefault="007F6686" w:rsidP="00596516">
      <w:r w:rsidRPr="00887855">
        <w:t>In addition to the</w:t>
      </w:r>
      <w:r w:rsidR="00302096" w:rsidRPr="00887855">
        <w:t>se</w:t>
      </w:r>
      <w:r w:rsidRPr="00887855">
        <w:t xml:space="preserve"> documents, we are releasing a </w:t>
      </w:r>
      <w:r w:rsidR="00DC3628" w:rsidRPr="00887855">
        <w:t xml:space="preserve">Microsoft </w:t>
      </w:r>
      <w:r w:rsidRPr="00887855">
        <w:t>Silverlight</w:t>
      </w:r>
      <w:r w:rsidR="00DC3628" w:rsidRPr="00887855">
        <w:t>™-</w:t>
      </w:r>
      <w:r w:rsidRPr="00887855">
        <w:t>based test portal for ContosoHosting.com. This portal includes a control panel that enables end customers to:</w:t>
      </w:r>
    </w:p>
    <w:p w:rsidR="007F6686" w:rsidRPr="00596516" w:rsidRDefault="007F6686" w:rsidP="00596516">
      <w:pPr>
        <w:pStyle w:val="ListParagraph"/>
        <w:numPr>
          <w:ilvl w:val="0"/>
          <w:numId w:val="21"/>
        </w:numPr>
      </w:pPr>
      <w:r w:rsidRPr="00596516">
        <w:t>Provision and manage Hyper-V</w:t>
      </w:r>
      <w:r w:rsidR="00DC3628" w:rsidRPr="00596516">
        <w:t>–</w:t>
      </w:r>
      <w:r w:rsidRPr="00596516">
        <w:t>based clients</w:t>
      </w:r>
      <w:r w:rsidR="00B444B4" w:rsidRPr="00596516">
        <w:t>.</w:t>
      </w:r>
    </w:p>
    <w:p w:rsidR="007F6686" w:rsidRPr="00596516" w:rsidRDefault="007F6686" w:rsidP="00596516">
      <w:pPr>
        <w:pStyle w:val="ListParagraph"/>
        <w:numPr>
          <w:ilvl w:val="0"/>
          <w:numId w:val="21"/>
        </w:numPr>
      </w:pPr>
      <w:r w:rsidRPr="00596516">
        <w:t>Perform file/folder</w:t>
      </w:r>
      <w:r w:rsidR="00B444B4" w:rsidRPr="00596516">
        <w:t>-</w:t>
      </w:r>
      <w:r w:rsidRPr="00596516">
        <w:t>level backups and restores</w:t>
      </w:r>
      <w:r w:rsidR="00B444B4" w:rsidRPr="00596516">
        <w:t>.</w:t>
      </w:r>
    </w:p>
    <w:p w:rsidR="007F6686" w:rsidRPr="00596516" w:rsidRDefault="007F6686" w:rsidP="00596516">
      <w:pPr>
        <w:pStyle w:val="ListParagraph"/>
        <w:numPr>
          <w:ilvl w:val="0"/>
          <w:numId w:val="21"/>
        </w:numPr>
      </w:pPr>
      <w:r w:rsidRPr="00596516">
        <w:t xml:space="preserve">Monitor important counters and </w:t>
      </w:r>
      <w:r w:rsidR="00DC3628" w:rsidRPr="00596516">
        <w:t xml:space="preserve">receive </w:t>
      </w:r>
      <w:r w:rsidRPr="00596516">
        <w:t>alerts</w:t>
      </w:r>
      <w:r w:rsidR="00B444B4" w:rsidRPr="00596516">
        <w:t>.</w:t>
      </w:r>
    </w:p>
    <w:p w:rsidR="007F6686" w:rsidRPr="00596516" w:rsidRDefault="007F6686" w:rsidP="00596516">
      <w:pPr>
        <w:pStyle w:val="ListParagraph"/>
        <w:numPr>
          <w:ilvl w:val="0"/>
          <w:numId w:val="21"/>
        </w:numPr>
      </w:pPr>
      <w:r w:rsidRPr="00596516">
        <w:t>Install updates during a configurable time window</w:t>
      </w:r>
      <w:r w:rsidR="00B444B4" w:rsidRPr="00596516">
        <w:t>.</w:t>
      </w:r>
    </w:p>
    <w:p w:rsidR="007F6686" w:rsidRPr="00596516" w:rsidRDefault="007F6686" w:rsidP="00596516">
      <w:pPr>
        <w:pStyle w:val="ListParagraph"/>
        <w:numPr>
          <w:ilvl w:val="0"/>
          <w:numId w:val="21"/>
        </w:numPr>
      </w:pPr>
      <w:r w:rsidRPr="00596516">
        <w:t xml:space="preserve">Monitor </w:t>
      </w:r>
      <w:r w:rsidR="00DC3628" w:rsidRPr="00596516">
        <w:t>e</w:t>
      </w:r>
      <w:r w:rsidRPr="00596516">
        <w:t>vents</w:t>
      </w:r>
      <w:r w:rsidR="00B444B4" w:rsidRPr="00596516">
        <w:t>.</w:t>
      </w:r>
    </w:p>
    <w:p w:rsidR="007F6686" w:rsidRPr="00887855" w:rsidRDefault="007F6686" w:rsidP="00596516">
      <w:r w:rsidRPr="00887855">
        <w:t xml:space="preserve">Along with the sample application, we provide the source code for </w:t>
      </w:r>
      <w:r w:rsidR="00B86F48" w:rsidRPr="00887855">
        <w:t>Windows</w:t>
      </w:r>
      <w:r w:rsidR="00707069" w:rsidRPr="00CA1F0F">
        <w:t>®</w:t>
      </w:r>
      <w:r w:rsidR="00707069" w:rsidRPr="00887855">
        <w:t xml:space="preserve"> </w:t>
      </w:r>
      <w:r w:rsidR="00B86F48" w:rsidRPr="00887855">
        <w:t>Communication Foundation (</w:t>
      </w:r>
      <w:r w:rsidRPr="00887855">
        <w:t>WCF</w:t>
      </w:r>
      <w:r w:rsidR="00B86F48" w:rsidRPr="00887855">
        <w:t>)</w:t>
      </w:r>
      <w:r w:rsidRPr="00887855">
        <w:t xml:space="preserve"> </w:t>
      </w:r>
      <w:r w:rsidR="00B86F48" w:rsidRPr="00887855">
        <w:t>s</w:t>
      </w:r>
      <w:r w:rsidRPr="00887855">
        <w:t xml:space="preserve">ervices and </w:t>
      </w:r>
      <w:r w:rsidR="00B86F48" w:rsidRPr="00887855">
        <w:t xml:space="preserve">Windows </w:t>
      </w:r>
      <w:proofErr w:type="spellStart"/>
      <w:r w:rsidRPr="00887855">
        <w:t>Powershell</w:t>
      </w:r>
      <w:proofErr w:type="spellEnd"/>
      <w:r w:rsidR="00B86F48" w:rsidRPr="00887855">
        <w:t>™</w:t>
      </w:r>
      <w:r w:rsidRPr="00887855">
        <w:t xml:space="preserve"> </w:t>
      </w:r>
      <w:r w:rsidR="00B86F48" w:rsidRPr="00887855">
        <w:t>s</w:t>
      </w:r>
      <w:r w:rsidRPr="00887855">
        <w:t xml:space="preserve">cripts to perform all operations to provision and manage the System Center </w:t>
      </w:r>
      <w:r w:rsidR="00B86F48" w:rsidRPr="00887855">
        <w:rPr>
          <w:color w:val="000000"/>
        </w:rPr>
        <w:t xml:space="preserve">Server Management Suite </w:t>
      </w:r>
      <w:r w:rsidRPr="00887855">
        <w:t>Enterprise and Windows Server 2008</w:t>
      </w:r>
      <w:r w:rsidR="00B86F48" w:rsidRPr="00887855">
        <w:t>.</w:t>
      </w:r>
    </w:p>
    <w:p w:rsidR="00466033" w:rsidRPr="009C62B8" w:rsidRDefault="00466033" w:rsidP="00596516"/>
    <w:p w:rsidR="0030439A" w:rsidRDefault="00F14A74" w:rsidP="00F14A74">
      <w:pPr>
        <w:pStyle w:val="NumHeading1"/>
      </w:pPr>
      <w:bookmarkStart w:id="11" w:name="_Toc234056386"/>
      <w:bookmarkStart w:id="12" w:name="_Toc234056646"/>
      <w:r w:rsidRPr="00F14A74">
        <w:t>Summary</w:t>
      </w:r>
      <w:bookmarkEnd w:id="11"/>
      <w:bookmarkEnd w:id="12"/>
    </w:p>
    <w:p w:rsidR="00A60003" w:rsidRPr="00887855" w:rsidRDefault="00CD1CB5" w:rsidP="00596516">
      <w:r w:rsidRPr="00887855">
        <w:t xml:space="preserve">The Dynamic Data Center </w:t>
      </w:r>
      <w:r w:rsidR="00B86F48" w:rsidRPr="00887855">
        <w:t>T</w:t>
      </w:r>
      <w:r w:rsidRPr="00887855">
        <w:t>oo</w:t>
      </w:r>
      <w:r w:rsidR="005B48B2" w:rsidRPr="00887855">
        <w:t>l</w:t>
      </w:r>
      <w:r w:rsidRPr="00887855">
        <w:t xml:space="preserve">kit provides </w:t>
      </w:r>
      <w:r w:rsidR="00A60003" w:rsidRPr="00887855">
        <w:t>comprehensive</w:t>
      </w:r>
      <w:r w:rsidRPr="00887855">
        <w:t xml:space="preserve"> guidance to manage</w:t>
      </w:r>
      <w:r w:rsidR="00A60003" w:rsidRPr="00887855">
        <w:t xml:space="preserve"> virtualized data</w:t>
      </w:r>
      <w:r w:rsidR="00B86F48" w:rsidRPr="00887855">
        <w:t xml:space="preserve"> </w:t>
      </w:r>
      <w:r w:rsidR="00A60003" w:rsidRPr="00887855">
        <w:t>center</w:t>
      </w:r>
      <w:r w:rsidR="00B86F48" w:rsidRPr="00887855">
        <w:t>s</w:t>
      </w:r>
      <w:r w:rsidRPr="00887855">
        <w:t xml:space="preserve">. It focuses on </w:t>
      </w:r>
      <w:r w:rsidR="00681D14" w:rsidRPr="00887855">
        <w:t>using</w:t>
      </w:r>
      <w:r w:rsidRPr="00887855">
        <w:t xml:space="preserve"> the four key components in System Center </w:t>
      </w:r>
      <w:r w:rsidR="00F74181" w:rsidRPr="00887855">
        <w:rPr>
          <w:color w:val="000000"/>
        </w:rPr>
        <w:t xml:space="preserve">Server Management Suite </w:t>
      </w:r>
      <w:r w:rsidRPr="00887855">
        <w:t xml:space="preserve">Enterprise </w:t>
      </w:r>
      <w:proofErr w:type="gramStart"/>
      <w:r w:rsidRPr="00887855">
        <w:t>(</w:t>
      </w:r>
      <w:r w:rsidR="00F74181" w:rsidRPr="00887855">
        <w:t xml:space="preserve"> Configuration</w:t>
      </w:r>
      <w:proofErr w:type="gramEnd"/>
      <w:r w:rsidR="00F74181" w:rsidRPr="00887855">
        <w:t xml:space="preserve"> Manager</w:t>
      </w:r>
      <w:r w:rsidRPr="00887855">
        <w:t xml:space="preserve">, </w:t>
      </w:r>
      <w:r w:rsidR="00F74181" w:rsidRPr="00887855">
        <w:t>Operations Manager</w:t>
      </w:r>
      <w:r w:rsidRPr="00887855">
        <w:t xml:space="preserve">, </w:t>
      </w:r>
      <w:r w:rsidR="00F74181" w:rsidRPr="00887855">
        <w:t>Data Protection Manager</w:t>
      </w:r>
      <w:r w:rsidRPr="00887855">
        <w:t xml:space="preserve">, </w:t>
      </w:r>
      <w:r w:rsidR="00F74181" w:rsidRPr="00887855">
        <w:t>and Virtual Machine Manager</w:t>
      </w:r>
      <w:r w:rsidRPr="00887855">
        <w:t xml:space="preserve">) to create a managed hosting offer by </w:t>
      </w:r>
      <w:r w:rsidR="00F74181" w:rsidRPr="00887855">
        <w:t>hosting providers</w:t>
      </w:r>
      <w:r w:rsidRPr="00887855">
        <w:t xml:space="preserve">. The </w:t>
      </w:r>
      <w:r w:rsidR="00F74181" w:rsidRPr="00887855">
        <w:t xml:space="preserve">Dynamic Data Center Toolkit </w:t>
      </w:r>
      <w:r w:rsidR="00B444B4" w:rsidRPr="00887855">
        <w:t>includes</w:t>
      </w:r>
      <w:r w:rsidRPr="00887855">
        <w:t xml:space="preserve"> </w:t>
      </w:r>
      <w:r w:rsidR="00F74181" w:rsidRPr="00887855">
        <w:t xml:space="preserve">a </w:t>
      </w:r>
      <w:r w:rsidRPr="00887855">
        <w:t>white</w:t>
      </w:r>
      <w:r w:rsidR="00F74181" w:rsidRPr="00887855">
        <w:t xml:space="preserve"> </w:t>
      </w:r>
      <w:r w:rsidRPr="00887855">
        <w:t xml:space="preserve">paper (installation guidance, best practices, </w:t>
      </w:r>
      <w:r w:rsidR="00F74181" w:rsidRPr="00887855">
        <w:t>and so on</w:t>
      </w:r>
      <w:r w:rsidRPr="00887855">
        <w:t>) and sample C#</w:t>
      </w:r>
      <w:r w:rsidR="00F74181" w:rsidRPr="00887855">
        <w:t>-</w:t>
      </w:r>
      <w:r w:rsidRPr="00887855">
        <w:t>based WCF services to manage the environment.</w:t>
      </w:r>
    </w:p>
    <w:p w:rsidR="00F14A74" w:rsidRPr="00887855" w:rsidRDefault="00F14A74" w:rsidP="00596516"/>
    <w:p w:rsidR="00A60003" w:rsidRDefault="00A60003" w:rsidP="00596516"/>
    <w:p w:rsidR="00C9060F" w:rsidRPr="00F64994" w:rsidRDefault="00C9060F" w:rsidP="00596516"/>
    <w:p w:rsidR="00A60003" w:rsidRPr="00A60003" w:rsidRDefault="00A60003" w:rsidP="00596516"/>
    <w:p w:rsidR="00A60003" w:rsidRPr="00F14A74" w:rsidRDefault="00A60003" w:rsidP="00596516"/>
    <w:sectPr w:rsidR="00A60003" w:rsidRPr="00F14A74" w:rsidSect="0022147D">
      <w:footerReference w:type="default" r:id="rId23"/>
      <w:pgSz w:w="12240" w:h="15840" w:code="9"/>
      <w:pgMar w:top="1440" w:right="1440" w:bottom="1440" w:left="1440"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20" w:rsidRDefault="006B0620">
      <w:r>
        <w:separator/>
      </w:r>
    </w:p>
  </w:endnote>
  <w:endnote w:type="continuationSeparator" w:id="0">
    <w:p w:rsidR="006B0620" w:rsidRDefault="006B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Condensed">
    <w:panose1 w:val="020B0506040504020203"/>
    <w:charset w:val="00"/>
    <w:family w:val="swiss"/>
    <w:pitch w:val="variable"/>
    <w:sig w:usb0="A00002AF" w:usb1="4000205B" w:usb2="00000000" w:usb3="00000000" w:csb0="0000009F" w:csb1="00000000"/>
  </w:font>
  <w:font w:name="Segoe">
    <w:altName w:val="Segoe UI"/>
    <w:panose1 w:val="020B0502040504020203"/>
    <w:charset w:val="00"/>
    <w:family w:val="swiss"/>
    <w:pitch w:val="variable"/>
    <w:sig w:usb0="A00002AF" w:usb1="4000205B" w:usb2="00000000" w:usb3="00000000" w:csb0="0000009F" w:csb1="00000000"/>
  </w:font>
  <w:font w:name="Segoe UI">
    <w:panose1 w:val="020B0502040204020203"/>
    <w:charset w:val="00"/>
    <w:family w:val="swiss"/>
    <w:pitch w:val="variable"/>
    <w:sig w:usb0="E00022FF" w:usb1="C000205B" w:usb2="00000009" w:usb3="00000000" w:csb0="000001DF" w:csb1="00000000"/>
  </w:font>
  <w:font w:name="Segoe Semibold">
    <w:altName w:val="Lucida Sans Unicode"/>
    <w:panose1 w:val="020B07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Light">
    <w:altName w:val="Segoe UI"/>
    <w:panose1 w:val="020B0302040504020203"/>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8F" w:rsidRDefault="00D34C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B4" w:rsidRPr="006065A6" w:rsidRDefault="00B444B4" w:rsidP="00392D92">
    <w:pPr>
      <w:pStyle w:val="Footer"/>
      <w:pBdr>
        <w:top w:val="single" w:sz="4" w:space="1" w:color="auto"/>
      </w:pBdr>
      <w:jc w:val="right"/>
    </w:pPr>
    <w:r w:rsidRPr="006065A6">
      <w:t xml:space="preserve">Page </w:t>
    </w:r>
    <w:fldSimple w:instr=" PAGE  \* roman  \* MERGEFORMAT ">
      <w:r w:rsidR="00556CDA">
        <w:rPr>
          <w:noProof/>
        </w:rPr>
        <w:t>i</w:t>
      </w:r>
    </w:fldSimple>
  </w:p>
  <w:tbl>
    <w:tblPr>
      <w:tblW w:w="9288" w:type="dxa"/>
      <w:tblLayout w:type="fixed"/>
      <w:tblLook w:val="01E0"/>
    </w:tblPr>
    <w:tblGrid>
      <w:gridCol w:w="2088"/>
      <w:gridCol w:w="7200"/>
    </w:tblGrid>
    <w:tr w:rsidR="00B444B4" w:rsidRPr="006065A6">
      <w:tc>
        <w:tcPr>
          <w:tcW w:w="2088" w:type="dxa"/>
        </w:tcPr>
        <w:p w:rsidR="00B444B4" w:rsidRPr="006065A6" w:rsidRDefault="00B444B4" w:rsidP="00EE5FD0">
          <w:pPr>
            <w:pStyle w:val="Footer"/>
            <w:ind w:left="-180"/>
          </w:pPr>
        </w:p>
      </w:tc>
      <w:tc>
        <w:tcPr>
          <w:tcW w:w="7200" w:type="dxa"/>
        </w:tcPr>
        <w:p w:rsidR="00B444B4" w:rsidRPr="006065A6" w:rsidRDefault="00B444B4" w:rsidP="004F044C">
          <w:pPr>
            <w:pStyle w:val="FooterSmall"/>
          </w:pPr>
        </w:p>
      </w:tc>
    </w:tr>
  </w:tbl>
  <w:p w:rsidR="00B444B4" w:rsidRPr="006065A6" w:rsidRDefault="00B444B4" w:rsidP="00392D92">
    <w:pPr>
      <w:pStyle w:val="FooterSmal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8F" w:rsidRDefault="00D34C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B4" w:rsidRPr="006065A6" w:rsidRDefault="00B444B4" w:rsidP="00392D92">
    <w:pPr>
      <w:pStyle w:val="Footer"/>
      <w:pBdr>
        <w:top w:val="single" w:sz="4" w:space="1" w:color="auto"/>
      </w:pBdr>
      <w:jc w:val="right"/>
    </w:pPr>
    <w:r w:rsidRPr="006065A6">
      <w:t xml:space="preserve">Page </w:t>
    </w:r>
    <w:fldSimple w:instr=" PAGE  \* Arabic  \* MERGEFORMAT ">
      <w:r w:rsidR="00556CDA">
        <w:rPr>
          <w:noProof/>
        </w:rPr>
        <w:t>1</w:t>
      </w:r>
    </w:fldSimple>
  </w:p>
  <w:tbl>
    <w:tblPr>
      <w:tblW w:w="9288" w:type="dxa"/>
      <w:tblLayout w:type="fixed"/>
      <w:tblLook w:val="01E0"/>
    </w:tblPr>
    <w:tblGrid>
      <w:gridCol w:w="2088"/>
      <w:gridCol w:w="7200"/>
    </w:tblGrid>
    <w:tr w:rsidR="00B444B4" w:rsidRPr="006065A6">
      <w:tc>
        <w:tcPr>
          <w:tcW w:w="2088" w:type="dxa"/>
        </w:tcPr>
        <w:p w:rsidR="00B444B4" w:rsidRPr="006065A6" w:rsidRDefault="00B444B4" w:rsidP="00EE5FD0">
          <w:pPr>
            <w:pStyle w:val="Footer"/>
            <w:ind w:left="-180"/>
          </w:pPr>
        </w:p>
      </w:tc>
      <w:tc>
        <w:tcPr>
          <w:tcW w:w="7200" w:type="dxa"/>
        </w:tcPr>
        <w:p w:rsidR="00B444B4" w:rsidRPr="006065A6" w:rsidRDefault="00B444B4" w:rsidP="00E82ECD">
          <w:pPr>
            <w:pStyle w:val="FooterSmall"/>
          </w:pPr>
        </w:p>
      </w:tc>
    </w:tr>
  </w:tbl>
  <w:p w:rsidR="00B444B4" w:rsidRPr="006065A6" w:rsidRDefault="00B444B4" w:rsidP="00392D92">
    <w:pPr>
      <w:pStyle w:val="FooterSmal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20" w:rsidRDefault="006B0620">
      <w:r>
        <w:separator/>
      </w:r>
    </w:p>
  </w:footnote>
  <w:footnote w:type="continuationSeparator" w:id="0">
    <w:p w:rsidR="006B0620" w:rsidRDefault="006B0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8F" w:rsidRDefault="00D34C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8F" w:rsidRDefault="00D34C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8F" w:rsidRDefault="00D34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1">
    <w:nsid w:val="02313D6E"/>
    <w:multiLevelType w:val="hybridMultilevel"/>
    <w:tmpl w:val="AAAC01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F0AA4"/>
    <w:multiLevelType w:val="hybridMultilevel"/>
    <w:tmpl w:val="ED0ED55C"/>
    <w:lvl w:ilvl="0" w:tplc="580EA10E">
      <w:start w:val="1"/>
      <w:numFmt w:val="bullet"/>
      <w:pStyle w:val="WPBullet"/>
      <w:lvlText w:val=""/>
      <w:lvlJc w:val="left"/>
      <w:pPr>
        <w:tabs>
          <w:tab w:val="num" w:pos="461"/>
        </w:tabs>
        <w:ind w:left="461" w:hanging="288"/>
      </w:pPr>
      <w:rPr>
        <w:rFonts w:ascii="Wingdings 2" w:hAnsi="Wingdings 2" w:hint="default"/>
        <w:color w:val="141414"/>
      </w:rPr>
    </w:lvl>
    <w:lvl w:ilvl="1" w:tplc="04090003">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2423C"/>
    <w:multiLevelType w:val="hybridMultilevel"/>
    <w:tmpl w:val="6FC695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71CCD"/>
    <w:multiLevelType w:val="hybridMultilevel"/>
    <w:tmpl w:val="2A54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15CAB"/>
    <w:multiLevelType w:val="hybridMultilevel"/>
    <w:tmpl w:val="8BDE2B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A6353D"/>
    <w:multiLevelType w:val="hybridMultilevel"/>
    <w:tmpl w:val="4236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5E66937"/>
    <w:multiLevelType w:val="hybridMultilevel"/>
    <w:tmpl w:val="4CA4C3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1">
    <w:nsid w:val="5B8C5369"/>
    <w:multiLevelType w:val="hybridMultilevel"/>
    <w:tmpl w:val="625CEF18"/>
    <w:lvl w:ilvl="0" w:tplc="A86A5DF4">
      <w:start w:val="1"/>
      <w:numFmt w:val="bullet"/>
      <w:pStyle w:val="Bullet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F72683"/>
    <w:multiLevelType w:val="hybridMultilevel"/>
    <w:tmpl w:val="463C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4">
    <w:nsid w:val="6BF97BC9"/>
    <w:multiLevelType w:val="hybridMultilevel"/>
    <w:tmpl w:val="5CB899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C25ACB"/>
    <w:multiLevelType w:val="hybridMultilevel"/>
    <w:tmpl w:val="D10C5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C2172"/>
    <w:multiLevelType w:val="hybridMultilevel"/>
    <w:tmpl w:val="6A7697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296EB2"/>
    <w:multiLevelType w:val="hybridMultilevel"/>
    <w:tmpl w:val="C144D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1693C"/>
    <w:multiLevelType w:val="hybridMultilevel"/>
    <w:tmpl w:val="E0A0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5"/>
  </w:num>
  <w:num w:numId="5">
    <w:abstractNumId w:val="9"/>
  </w:num>
  <w:num w:numId="6">
    <w:abstractNumId w:val="13"/>
  </w:num>
  <w:num w:numId="7">
    <w:abstractNumId w:val="2"/>
  </w:num>
  <w:num w:numId="8">
    <w:abstractNumId w:val="11"/>
  </w:num>
  <w:num w:numId="9">
    <w:abstractNumId w:val="1"/>
  </w:num>
  <w:num w:numId="10">
    <w:abstractNumId w:val="19"/>
  </w:num>
  <w:num w:numId="11">
    <w:abstractNumId w:val="17"/>
  </w:num>
  <w:num w:numId="12">
    <w:abstractNumId w:val="4"/>
  </w:num>
  <w:num w:numId="13">
    <w:abstractNumId w:val="12"/>
  </w:num>
  <w:num w:numId="14">
    <w:abstractNumId w:val="8"/>
  </w:num>
  <w:num w:numId="15">
    <w:abstractNumId w:val="18"/>
  </w:num>
  <w:num w:numId="16">
    <w:abstractNumId w:val="14"/>
  </w:num>
  <w:num w:numId="17">
    <w:abstractNumId w:val="3"/>
  </w:num>
  <w:num w:numId="18">
    <w:abstractNumId w:val="16"/>
  </w:num>
  <w:num w:numId="19">
    <w:abstractNumId w:val="0"/>
  </w:num>
  <w:num w:numId="20">
    <w:abstractNumId w:val="6"/>
  </w:num>
  <w:num w:numId="21">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linkStyles/>
  <w:stylePaneFormatFilter w:val="3F01"/>
  <w:defaultTabStop w:val="720"/>
  <w:drawingGridHorizontalSpacing w:val="10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rsids>
    <w:rsidRoot w:val="001232D2"/>
    <w:rsid w:val="00007499"/>
    <w:rsid w:val="00007E4B"/>
    <w:rsid w:val="00012482"/>
    <w:rsid w:val="000141CE"/>
    <w:rsid w:val="000179D1"/>
    <w:rsid w:val="00017F6F"/>
    <w:rsid w:val="00022EAC"/>
    <w:rsid w:val="00023C4D"/>
    <w:rsid w:val="000273A2"/>
    <w:rsid w:val="000302B6"/>
    <w:rsid w:val="000318FD"/>
    <w:rsid w:val="000334DD"/>
    <w:rsid w:val="0003574F"/>
    <w:rsid w:val="00035FBE"/>
    <w:rsid w:val="00036FB7"/>
    <w:rsid w:val="00040528"/>
    <w:rsid w:val="00041CB9"/>
    <w:rsid w:val="000467A8"/>
    <w:rsid w:val="00046A56"/>
    <w:rsid w:val="00051BC2"/>
    <w:rsid w:val="00051F44"/>
    <w:rsid w:val="000520C6"/>
    <w:rsid w:val="000527ED"/>
    <w:rsid w:val="00057C99"/>
    <w:rsid w:val="00067BC6"/>
    <w:rsid w:val="00072298"/>
    <w:rsid w:val="00072CB6"/>
    <w:rsid w:val="00074C6E"/>
    <w:rsid w:val="0008275A"/>
    <w:rsid w:val="00084B0C"/>
    <w:rsid w:val="000855B2"/>
    <w:rsid w:val="00091CF4"/>
    <w:rsid w:val="00097466"/>
    <w:rsid w:val="00097844"/>
    <w:rsid w:val="000A0C8B"/>
    <w:rsid w:val="000B2BC4"/>
    <w:rsid w:val="000B3FD7"/>
    <w:rsid w:val="000B4013"/>
    <w:rsid w:val="000B4C53"/>
    <w:rsid w:val="000C17AE"/>
    <w:rsid w:val="000C4EB8"/>
    <w:rsid w:val="000C75E0"/>
    <w:rsid w:val="000D102A"/>
    <w:rsid w:val="000D59F1"/>
    <w:rsid w:val="000D6B22"/>
    <w:rsid w:val="000D7D0D"/>
    <w:rsid w:val="000E16C5"/>
    <w:rsid w:val="000E1F34"/>
    <w:rsid w:val="000E2314"/>
    <w:rsid w:val="000E4EE3"/>
    <w:rsid w:val="000E6752"/>
    <w:rsid w:val="000E6BD7"/>
    <w:rsid w:val="000F300E"/>
    <w:rsid w:val="000F566C"/>
    <w:rsid w:val="000F68D2"/>
    <w:rsid w:val="000F718A"/>
    <w:rsid w:val="00100B7A"/>
    <w:rsid w:val="0010145F"/>
    <w:rsid w:val="00101BF9"/>
    <w:rsid w:val="00101FB3"/>
    <w:rsid w:val="00102D16"/>
    <w:rsid w:val="00105A71"/>
    <w:rsid w:val="00121DF9"/>
    <w:rsid w:val="001232D2"/>
    <w:rsid w:val="00124468"/>
    <w:rsid w:val="001271BE"/>
    <w:rsid w:val="0013361E"/>
    <w:rsid w:val="00133EFE"/>
    <w:rsid w:val="00137660"/>
    <w:rsid w:val="0014040D"/>
    <w:rsid w:val="0014680C"/>
    <w:rsid w:val="0015520C"/>
    <w:rsid w:val="001568B3"/>
    <w:rsid w:val="0015772B"/>
    <w:rsid w:val="00157865"/>
    <w:rsid w:val="001607A4"/>
    <w:rsid w:val="00161373"/>
    <w:rsid w:val="00166CC6"/>
    <w:rsid w:val="001719E4"/>
    <w:rsid w:val="00174802"/>
    <w:rsid w:val="00176D3C"/>
    <w:rsid w:val="0018199A"/>
    <w:rsid w:val="00187D2B"/>
    <w:rsid w:val="0019200F"/>
    <w:rsid w:val="001937B9"/>
    <w:rsid w:val="0019735C"/>
    <w:rsid w:val="001A2895"/>
    <w:rsid w:val="001A5D23"/>
    <w:rsid w:val="001A5F17"/>
    <w:rsid w:val="001B10C0"/>
    <w:rsid w:val="001B1902"/>
    <w:rsid w:val="001B1973"/>
    <w:rsid w:val="001B1F91"/>
    <w:rsid w:val="001B33C0"/>
    <w:rsid w:val="001B6926"/>
    <w:rsid w:val="001C006B"/>
    <w:rsid w:val="001C2D45"/>
    <w:rsid w:val="001C6EAF"/>
    <w:rsid w:val="001E037F"/>
    <w:rsid w:val="001E176C"/>
    <w:rsid w:val="001E4CAB"/>
    <w:rsid w:val="001E61E3"/>
    <w:rsid w:val="001E7E95"/>
    <w:rsid w:val="001F74BE"/>
    <w:rsid w:val="00203FD4"/>
    <w:rsid w:val="002079B1"/>
    <w:rsid w:val="0021787E"/>
    <w:rsid w:val="0022147D"/>
    <w:rsid w:val="002214ED"/>
    <w:rsid w:val="00222562"/>
    <w:rsid w:val="00224A29"/>
    <w:rsid w:val="00233F5E"/>
    <w:rsid w:val="00234B75"/>
    <w:rsid w:val="00235EE9"/>
    <w:rsid w:val="0024075A"/>
    <w:rsid w:val="00242ACD"/>
    <w:rsid w:val="002440AE"/>
    <w:rsid w:val="0025005E"/>
    <w:rsid w:val="00252328"/>
    <w:rsid w:val="00255A0B"/>
    <w:rsid w:val="002568A8"/>
    <w:rsid w:val="0026072B"/>
    <w:rsid w:val="00263B26"/>
    <w:rsid w:val="00267C35"/>
    <w:rsid w:val="00270DA9"/>
    <w:rsid w:val="00275E1E"/>
    <w:rsid w:val="00275E75"/>
    <w:rsid w:val="002762E1"/>
    <w:rsid w:val="00277CF0"/>
    <w:rsid w:val="00280177"/>
    <w:rsid w:val="00281A06"/>
    <w:rsid w:val="002836DE"/>
    <w:rsid w:val="00286614"/>
    <w:rsid w:val="00287137"/>
    <w:rsid w:val="00287702"/>
    <w:rsid w:val="00293A5B"/>
    <w:rsid w:val="00293E86"/>
    <w:rsid w:val="0029653E"/>
    <w:rsid w:val="00296940"/>
    <w:rsid w:val="002A3D0C"/>
    <w:rsid w:val="002A42B9"/>
    <w:rsid w:val="002A446E"/>
    <w:rsid w:val="002A66ED"/>
    <w:rsid w:val="002B3BA7"/>
    <w:rsid w:val="002B5E06"/>
    <w:rsid w:val="002B7464"/>
    <w:rsid w:val="002D2A3F"/>
    <w:rsid w:val="002E637B"/>
    <w:rsid w:val="002F14C7"/>
    <w:rsid w:val="002F25B6"/>
    <w:rsid w:val="00300BEA"/>
    <w:rsid w:val="00300E85"/>
    <w:rsid w:val="00302096"/>
    <w:rsid w:val="00304344"/>
    <w:rsid w:val="0030439A"/>
    <w:rsid w:val="00315F92"/>
    <w:rsid w:val="003165C1"/>
    <w:rsid w:val="00317903"/>
    <w:rsid w:val="00323C33"/>
    <w:rsid w:val="00323F7A"/>
    <w:rsid w:val="00325568"/>
    <w:rsid w:val="00331709"/>
    <w:rsid w:val="00331979"/>
    <w:rsid w:val="00335A12"/>
    <w:rsid w:val="0034214F"/>
    <w:rsid w:val="003421B8"/>
    <w:rsid w:val="00345D43"/>
    <w:rsid w:val="00347326"/>
    <w:rsid w:val="003510D7"/>
    <w:rsid w:val="003517BD"/>
    <w:rsid w:val="0035440D"/>
    <w:rsid w:val="00357075"/>
    <w:rsid w:val="003637DC"/>
    <w:rsid w:val="00363B4F"/>
    <w:rsid w:val="00364826"/>
    <w:rsid w:val="0036581D"/>
    <w:rsid w:val="00365B17"/>
    <w:rsid w:val="0037243C"/>
    <w:rsid w:val="00374494"/>
    <w:rsid w:val="00375BA4"/>
    <w:rsid w:val="003803D2"/>
    <w:rsid w:val="00382CB0"/>
    <w:rsid w:val="0038436E"/>
    <w:rsid w:val="00385292"/>
    <w:rsid w:val="00385D4B"/>
    <w:rsid w:val="00386E9C"/>
    <w:rsid w:val="003922BA"/>
    <w:rsid w:val="00392D92"/>
    <w:rsid w:val="0039307F"/>
    <w:rsid w:val="003A1C1F"/>
    <w:rsid w:val="003A7D72"/>
    <w:rsid w:val="003C048F"/>
    <w:rsid w:val="003C1EF2"/>
    <w:rsid w:val="003C1F26"/>
    <w:rsid w:val="003C2088"/>
    <w:rsid w:val="003C20E2"/>
    <w:rsid w:val="003C30CB"/>
    <w:rsid w:val="003D1184"/>
    <w:rsid w:val="003D137E"/>
    <w:rsid w:val="003D5002"/>
    <w:rsid w:val="003D5750"/>
    <w:rsid w:val="003D57DC"/>
    <w:rsid w:val="003D70F6"/>
    <w:rsid w:val="003E177E"/>
    <w:rsid w:val="003E19D1"/>
    <w:rsid w:val="003E3D65"/>
    <w:rsid w:val="003E441A"/>
    <w:rsid w:val="003F2A0F"/>
    <w:rsid w:val="003F3F53"/>
    <w:rsid w:val="00401A30"/>
    <w:rsid w:val="0040244F"/>
    <w:rsid w:val="00402C5D"/>
    <w:rsid w:val="00403C76"/>
    <w:rsid w:val="00404A63"/>
    <w:rsid w:val="00404A85"/>
    <w:rsid w:val="00405A59"/>
    <w:rsid w:val="00417B3E"/>
    <w:rsid w:val="00424542"/>
    <w:rsid w:val="004272FD"/>
    <w:rsid w:val="00433357"/>
    <w:rsid w:val="004344CD"/>
    <w:rsid w:val="00436F31"/>
    <w:rsid w:val="0044019B"/>
    <w:rsid w:val="00440C28"/>
    <w:rsid w:val="004445D9"/>
    <w:rsid w:val="00444DA9"/>
    <w:rsid w:val="004453E0"/>
    <w:rsid w:val="00446972"/>
    <w:rsid w:val="0045017F"/>
    <w:rsid w:val="00454086"/>
    <w:rsid w:val="0046279C"/>
    <w:rsid w:val="00466033"/>
    <w:rsid w:val="00470C60"/>
    <w:rsid w:val="00471BEB"/>
    <w:rsid w:val="0047248B"/>
    <w:rsid w:val="00472FBB"/>
    <w:rsid w:val="004745D8"/>
    <w:rsid w:val="00475E03"/>
    <w:rsid w:val="00475E4C"/>
    <w:rsid w:val="0047714C"/>
    <w:rsid w:val="0047715A"/>
    <w:rsid w:val="004775D4"/>
    <w:rsid w:val="00480B73"/>
    <w:rsid w:val="00481116"/>
    <w:rsid w:val="00481D1C"/>
    <w:rsid w:val="004820BC"/>
    <w:rsid w:val="004823EE"/>
    <w:rsid w:val="0049005D"/>
    <w:rsid w:val="00491040"/>
    <w:rsid w:val="00493A63"/>
    <w:rsid w:val="004A0356"/>
    <w:rsid w:val="004A1AB2"/>
    <w:rsid w:val="004A5F3E"/>
    <w:rsid w:val="004B04BA"/>
    <w:rsid w:val="004B193D"/>
    <w:rsid w:val="004B3956"/>
    <w:rsid w:val="004B5796"/>
    <w:rsid w:val="004B5B42"/>
    <w:rsid w:val="004B6964"/>
    <w:rsid w:val="004B7423"/>
    <w:rsid w:val="004C3050"/>
    <w:rsid w:val="004D1F72"/>
    <w:rsid w:val="004D2019"/>
    <w:rsid w:val="004D370E"/>
    <w:rsid w:val="004E16E6"/>
    <w:rsid w:val="004E203F"/>
    <w:rsid w:val="004E7E0A"/>
    <w:rsid w:val="004F044C"/>
    <w:rsid w:val="004F25D7"/>
    <w:rsid w:val="004F46E5"/>
    <w:rsid w:val="004F72FC"/>
    <w:rsid w:val="004F767E"/>
    <w:rsid w:val="004F7BCD"/>
    <w:rsid w:val="005011E7"/>
    <w:rsid w:val="0050145D"/>
    <w:rsid w:val="005014B9"/>
    <w:rsid w:val="00504A10"/>
    <w:rsid w:val="0051026E"/>
    <w:rsid w:val="00510A26"/>
    <w:rsid w:val="00517223"/>
    <w:rsid w:val="005212A4"/>
    <w:rsid w:val="005227B8"/>
    <w:rsid w:val="005317E4"/>
    <w:rsid w:val="005345DC"/>
    <w:rsid w:val="00541706"/>
    <w:rsid w:val="0055189D"/>
    <w:rsid w:val="005551BE"/>
    <w:rsid w:val="00555818"/>
    <w:rsid w:val="00556CDA"/>
    <w:rsid w:val="0056008D"/>
    <w:rsid w:val="00565637"/>
    <w:rsid w:val="005658D8"/>
    <w:rsid w:val="00570B14"/>
    <w:rsid w:val="00573AF6"/>
    <w:rsid w:val="005778C2"/>
    <w:rsid w:val="00577DCC"/>
    <w:rsid w:val="00581046"/>
    <w:rsid w:val="00583F02"/>
    <w:rsid w:val="00587DFC"/>
    <w:rsid w:val="00592061"/>
    <w:rsid w:val="00594A58"/>
    <w:rsid w:val="00596516"/>
    <w:rsid w:val="0059730D"/>
    <w:rsid w:val="005A00E6"/>
    <w:rsid w:val="005A07DF"/>
    <w:rsid w:val="005A5EC2"/>
    <w:rsid w:val="005B0899"/>
    <w:rsid w:val="005B48B2"/>
    <w:rsid w:val="005B743A"/>
    <w:rsid w:val="005C1F92"/>
    <w:rsid w:val="005C44E1"/>
    <w:rsid w:val="005C4B02"/>
    <w:rsid w:val="005C532A"/>
    <w:rsid w:val="005C77F6"/>
    <w:rsid w:val="005D1597"/>
    <w:rsid w:val="005D1732"/>
    <w:rsid w:val="005D2B7F"/>
    <w:rsid w:val="005D3C2C"/>
    <w:rsid w:val="005D3C51"/>
    <w:rsid w:val="005D7B17"/>
    <w:rsid w:val="005E01CC"/>
    <w:rsid w:val="005E78D9"/>
    <w:rsid w:val="005F6EED"/>
    <w:rsid w:val="005F731A"/>
    <w:rsid w:val="006065A6"/>
    <w:rsid w:val="00611EA8"/>
    <w:rsid w:val="006141E4"/>
    <w:rsid w:val="00614A11"/>
    <w:rsid w:val="0061612A"/>
    <w:rsid w:val="00616D0E"/>
    <w:rsid w:val="006250E3"/>
    <w:rsid w:val="006317A4"/>
    <w:rsid w:val="00632417"/>
    <w:rsid w:val="006333DA"/>
    <w:rsid w:val="00634091"/>
    <w:rsid w:val="00635A30"/>
    <w:rsid w:val="006449FF"/>
    <w:rsid w:val="00645258"/>
    <w:rsid w:val="00645415"/>
    <w:rsid w:val="006467C9"/>
    <w:rsid w:val="00646A90"/>
    <w:rsid w:val="00647A68"/>
    <w:rsid w:val="00650217"/>
    <w:rsid w:val="00650696"/>
    <w:rsid w:val="00654671"/>
    <w:rsid w:val="006553E5"/>
    <w:rsid w:val="00657A08"/>
    <w:rsid w:val="006600D6"/>
    <w:rsid w:val="00660B5E"/>
    <w:rsid w:val="00670200"/>
    <w:rsid w:val="00671580"/>
    <w:rsid w:val="00675B59"/>
    <w:rsid w:val="00676BEB"/>
    <w:rsid w:val="006801F7"/>
    <w:rsid w:val="006811BB"/>
    <w:rsid w:val="00681D14"/>
    <w:rsid w:val="006825B3"/>
    <w:rsid w:val="006836EA"/>
    <w:rsid w:val="006861D6"/>
    <w:rsid w:val="006864C8"/>
    <w:rsid w:val="00687735"/>
    <w:rsid w:val="006934D5"/>
    <w:rsid w:val="00695DB7"/>
    <w:rsid w:val="0069632E"/>
    <w:rsid w:val="006A1E44"/>
    <w:rsid w:val="006A3754"/>
    <w:rsid w:val="006A4AE4"/>
    <w:rsid w:val="006B0620"/>
    <w:rsid w:val="006B1F7F"/>
    <w:rsid w:val="006B2A51"/>
    <w:rsid w:val="006B5E92"/>
    <w:rsid w:val="006B5FA2"/>
    <w:rsid w:val="006B6D4C"/>
    <w:rsid w:val="006B6FF5"/>
    <w:rsid w:val="006C1811"/>
    <w:rsid w:val="006C3E7D"/>
    <w:rsid w:val="006C5614"/>
    <w:rsid w:val="006D080D"/>
    <w:rsid w:val="006D1FC9"/>
    <w:rsid w:val="006D21F6"/>
    <w:rsid w:val="006D2F19"/>
    <w:rsid w:val="006D3370"/>
    <w:rsid w:val="006D44ED"/>
    <w:rsid w:val="006D4514"/>
    <w:rsid w:val="006D65D2"/>
    <w:rsid w:val="006E5649"/>
    <w:rsid w:val="006E5B9A"/>
    <w:rsid w:val="006F1D71"/>
    <w:rsid w:val="006F4641"/>
    <w:rsid w:val="00702A39"/>
    <w:rsid w:val="00702A68"/>
    <w:rsid w:val="007037EF"/>
    <w:rsid w:val="007048E1"/>
    <w:rsid w:val="00707069"/>
    <w:rsid w:val="00707E29"/>
    <w:rsid w:val="0071207B"/>
    <w:rsid w:val="00712647"/>
    <w:rsid w:val="0072283E"/>
    <w:rsid w:val="00727263"/>
    <w:rsid w:val="00730CB5"/>
    <w:rsid w:val="00732AF5"/>
    <w:rsid w:val="00732D36"/>
    <w:rsid w:val="0073401D"/>
    <w:rsid w:val="007375BE"/>
    <w:rsid w:val="007458D9"/>
    <w:rsid w:val="00745D78"/>
    <w:rsid w:val="00745E3B"/>
    <w:rsid w:val="00750318"/>
    <w:rsid w:val="007504CC"/>
    <w:rsid w:val="00750851"/>
    <w:rsid w:val="007609E8"/>
    <w:rsid w:val="00761AC3"/>
    <w:rsid w:val="00764D6E"/>
    <w:rsid w:val="00781D5E"/>
    <w:rsid w:val="00781EBD"/>
    <w:rsid w:val="00782009"/>
    <w:rsid w:val="007828EE"/>
    <w:rsid w:val="00786CA1"/>
    <w:rsid w:val="00787A2F"/>
    <w:rsid w:val="00792780"/>
    <w:rsid w:val="0079347D"/>
    <w:rsid w:val="007976F0"/>
    <w:rsid w:val="007A299B"/>
    <w:rsid w:val="007A5A12"/>
    <w:rsid w:val="007B1B1F"/>
    <w:rsid w:val="007B2648"/>
    <w:rsid w:val="007B3C5C"/>
    <w:rsid w:val="007B65E2"/>
    <w:rsid w:val="007B6632"/>
    <w:rsid w:val="007B7C06"/>
    <w:rsid w:val="007C0CD9"/>
    <w:rsid w:val="007C2728"/>
    <w:rsid w:val="007C5A9F"/>
    <w:rsid w:val="007C6560"/>
    <w:rsid w:val="007C6A09"/>
    <w:rsid w:val="007D0658"/>
    <w:rsid w:val="007D0B5C"/>
    <w:rsid w:val="007D1AB0"/>
    <w:rsid w:val="007D2CA5"/>
    <w:rsid w:val="007E00C7"/>
    <w:rsid w:val="007E0E90"/>
    <w:rsid w:val="007E142E"/>
    <w:rsid w:val="007E43E6"/>
    <w:rsid w:val="007E5167"/>
    <w:rsid w:val="007E61BD"/>
    <w:rsid w:val="007F03EB"/>
    <w:rsid w:val="007F1BC3"/>
    <w:rsid w:val="007F4132"/>
    <w:rsid w:val="007F646E"/>
    <w:rsid w:val="007F6686"/>
    <w:rsid w:val="007F7DB4"/>
    <w:rsid w:val="008007E2"/>
    <w:rsid w:val="008019B1"/>
    <w:rsid w:val="00802FED"/>
    <w:rsid w:val="00803C91"/>
    <w:rsid w:val="00805133"/>
    <w:rsid w:val="00805982"/>
    <w:rsid w:val="00811302"/>
    <w:rsid w:val="00814FFE"/>
    <w:rsid w:val="00816802"/>
    <w:rsid w:val="0082094E"/>
    <w:rsid w:val="00824908"/>
    <w:rsid w:val="00824B5E"/>
    <w:rsid w:val="00825521"/>
    <w:rsid w:val="00825807"/>
    <w:rsid w:val="00826101"/>
    <w:rsid w:val="008279C7"/>
    <w:rsid w:val="0083284C"/>
    <w:rsid w:val="00832AD2"/>
    <w:rsid w:val="0085244F"/>
    <w:rsid w:val="00852EE0"/>
    <w:rsid w:val="00854A6A"/>
    <w:rsid w:val="008561EA"/>
    <w:rsid w:val="00860154"/>
    <w:rsid w:val="0086218C"/>
    <w:rsid w:val="00866344"/>
    <w:rsid w:val="00871102"/>
    <w:rsid w:val="00874181"/>
    <w:rsid w:val="0087516D"/>
    <w:rsid w:val="0087520D"/>
    <w:rsid w:val="008762EE"/>
    <w:rsid w:val="00880C51"/>
    <w:rsid w:val="00885042"/>
    <w:rsid w:val="00887855"/>
    <w:rsid w:val="00890F92"/>
    <w:rsid w:val="00891AB2"/>
    <w:rsid w:val="00895002"/>
    <w:rsid w:val="00896D23"/>
    <w:rsid w:val="008A0A5F"/>
    <w:rsid w:val="008A3F89"/>
    <w:rsid w:val="008A7A2F"/>
    <w:rsid w:val="008B4992"/>
    <w:rsid w:val="008C0ED3"/>
    <w:rsid w:val="008C7119"/>
    <w:rsid w:val="008D246E"/>
    <w:rsid w:val="008D2D56"/>
    <w:rsid w:val="008D43E8"/>
    <w:rsid w:val="008D6FC6"/>
    <w:rsid w:val="008E08C3"/>
    <w:rsid w:val="008E1AAE"/>
    <w:rsid w:val="008E3426"/>
    <w:rsid w:val="008E69DE"/>
    <w:rsid w:val="008F178B"/>
    <w:rsid w:val="008F5AFD"/>
    <w:rsid w:val="009033C3"/>
    <w:rsid w:val="00905809"/>
    <w:rsid w:val="00906CCC"/>
    <w:rsid w:val="00907E09"/>
    <w:rsid w:val="00910BDE"/>
    <w:rsid w:val="00913A8D"/>
    <w:rsid w:val="00914EBB"/>
    <w:rsid w:val="0091654F"/>
    <w:rsid w:val="00920474"/>
    <w:rsid w:val="00921D9F"/>
    <w:rsid w:val="00922944"/>
    <w:rsid w:val="00924BEF"/>
    <w:rsid w:val="00927CA2"/>
    <w:rsid w:val="009341D8"/>
    <w:rsid w:val="00937963"/>
    <w:rsid w:val="009413D3"/>
    <w:rsid w:val="00942E31"/>
    <w:rsid w:val="0094645C"/>
    <w:rsid w:val="00952C74"/>
    <w:rsid w:val="009568EA"/>
    <w:rsid w:val="0096611B"/>
    <w:rsid w:val="009711C4"/>
    <w:rsid w:val="009729F5"/>
    <w:rsid w:val="00975091"/>
    <w:rsid w:val="00982679"/>
    <w:rsid w:val="00984801"/>
    <w:rsid w:val="00984BAD"/>
    <w:rsid w:val="00984FF9"/>
    <w:rsid w:val="00990177"/>
    <w:rsid w:val="009948E2"/>
    <w:rsid w:val="009A2AE7"/>
    <w:rsid w:val="009A2CD8"/>
    <w:rsid w:val="009A49F5"/>
    <w:rsid w:val="009A5C07"/>
    <w:rsid w:val="009A7F51"/>
    <w:rsid w:val="009B186B"/>
    <w:rsid w:val="009B4631"/>
    <w:rsid w:val="009B74F4"/>
    <w:rsid w:val="009C1499"/>
    <w:rsid w:val="009C1A74"/>
    <w:rsid w:val="009C4157"/>
    <w:rsid w:val="009C473C"/>
    <w:rsid w:val="009C4CBE"/>
    <w:rsid w:val="009C692A"/>
    <w:rsid w:val="009D338C"/>
    <w:rsid w:val="009D62DD"/>
    <w:rsid w:val="009D66E0"/>
    <w:rsid w:val="009D73A8"/>
    <w:rsid w:val="009E0286"/>
    <w:rsid w:val="009F0376"/>
    <w:rsid w:val="009F356B"/>
    <w:rsid w:val="009F635F"/>
    <w:rsid w:val="00A0419E"/>
    <w:rsid w:val="00A05078"/>
    <w:rsid w:val="00A06BF4"/>
    <w:rsid w:val="00A07CD2"/>
    <w:rsid w:val="00A12242"/>
    <w:rsid w:val="00A21FBE"/>
    <w:rsid w:val="00A226AA"/>
    <w:rsid w:val="00A240A8"/>
    <w:rsid w:val="00A2425F"/>
    <w:rsid w:val="00A336D5"/>
    <w:rsid w:val="00A367BF"/>
    <w:rsid w:val="00A41BEE"/>
    <w:rsid w:val="00A42022"/>
    <w:rsid w:val="00A46C23"/>
    <w:rsid w:val="00A51E61"/>
    <w:rsid w:val="00A5491D"/>
    <w:rsid w:val="00A569C2"/>
    <w:rsid w:val="00A60003"/>
    <w:rsid w:val="00A62BD2"/>
    <w:rsid w:val="00A66EBC"/>
    <w:rsid w:val="00A66FB1"/>
    <w:rsid w:val="00A71480"/>
    <w:rsid w:val="00A72D6F"/>
    <w:rsid w:val="00A81C78"/>
    <w:rsid w:val="00A82529"/>
    <w:rsid w:val="00A84317"/>
    <w:rsid w:val="00A849C4"/>
    <w:rsid w:val="00A84CD6"/>
    <w:rsid w:val="00A8515F"/>
    <w:rsid w:val="00A8728D"/>
    <w:rsid w:val="00A910CD"/>
    <w:rsid w:val="00A910F5"/>
    <w:rsid w:val="00A91173"/>
    <w:rsid w:val="00A92BC0"/>
    <w:rsid w:val="00A970A4"/>
    <w:rsid w:val="00A97D56"/>
    <w:rsid w:val="00AA358C"/>
    <w:rsid w:val="00AB263A"/>
    <w:rsid w:val="00AB2C67"/>
    <w:rsid w:val="00AB731F"/>
    <w:rsid w:val="00AC1E1F"/>
    <w:rsid w:val="00AC511C"/>
    <w:rsid w:val="00AC5A4A"/>
    <w:rsid w:val="00AC7881"/>
    <w:rsid w:val="00AD2EF5"/>
    <w:rsid w:val="00AD6921"/>
    <w:rsid w:val="00AE4004"/>
    <w:rsid w:val="00AE6CC2"/>
    <w:rsid w:val="00AE7ECB"/>
    <w:rsid w:val="00AF2D15"/>
    <w:rsid w:val="00AF5A13"/>
    <w:rsid w:val="00B01F58"/>
    <w:rsid w:val="00B026D7"/>
    <w:rsid w:val="00B052BE"/>
    <w:rsid w:val="00B05371"/>
    <w:rsid w:val="00B07AD0"/>
    <w:rsid w:val="00B100E4"/>
    <w:rsid w:val="00B111CD"/>
    <w:rsid w:val="00B12A2A"/>
    <w:rsid w:val="00B157D2"/>
    <w:rsid w:val="00B179EB"/>
    <w:rsid w:val="00B206A1"/>
    <w:rsid w:val="00B2075C"/>
    <w:rsid w:val="00B208BF"/>
    <w:rsid w:val="00B21BB5"/>
    <w:rsid w:val="00B24E5B"/>
    <w:rsid w:val="00B24EBB"/>
    <w:rsid w:val="00B25414"/>
    <w:rsid w:val="00B30CC6"/>
    <w:rsid w:val="00B32F05"/>
    <w:rsid w:val="00B3333A"/>
    <w:rsid w:val="00B33E3E"/>
    <w:rsid w:val="00B4019D"/>
    <w:rsid w:val="00B40CBC"/>
    <w:rsid w:val="00B41D10"/>
    <w:rsid w:val="00B43C96"/>
    <w:rsid w:val="00B444B4"/>
    <w:rsid w:val="00B45EB9"/>
    <w:rsid w:val="00B47DC0"/>
    <w:rsid w:val="00B50492"/>
    <w:rsid w:val="00B506EB"/>
    <w:rsid w:val="00B5168B"/>
    <w:rsid w:val="00B56BE8"/>
    <w:rsid w:val="00B61ECA"/>
    <w:rsid w:val="00B65B5F"/>
    <w:rsid w:val="00B67BA1"/>
    <w:rsid w:val="00B702A4"/>
    <w:rsid w:val="00B70738"/>
    <w:rsid w:val="00B71637"/>
    <w:rsid w:val="00B7758F"/>
    <w:rsid w:val="00B80834"/>
    <w:rsid w:val="00B80B41"/>
    <w:rsid w:val="00B840CA"/>
    <w:rsid w:val="00B8546E"/>
    <w:rsid w:val="00B86F48"/>
    <w:rsid w:val="00B91E5E"/>
    <w:rsid w:val="00BA0B9D"/>
    <w:rsid w:val="00BA225E"/>
    <w:rsid w:val="00BA2EB5"/>
    <w:rsid w:val="00BB0549"/>
    <w:rsid w:val="00BB26FF"/>
    <w:rsid w:val="00BB3F09"/>
    <w:rsid w:val="00BB6D8D"/>
    <w:rsid w:val="00BB7956"/>
    <w:rsid w:val="00BB79BA"/>
    <w:rsid w:val="00BC0367"/>
    <w:rsid w:val="00BC37AC"/>
    <w:rsid w:val="00BC441A"/>
    <w:rsid w:val="00BC6E73"/>
    <w:rsid w:val="00BC6E90"/>
    <w:rsid w:val="00BD318C"/>
    <w:rsid w:val="00BD3950"/>
    <w:rsid w:val="00BD4CFF"/>
    <w:rsid w:val="00BD5A62"/>
    <w:rsid w:val="00BD600B"/>
    <w:rsid w:val="00BE06DF"/>
    <w:rsid w:val="00BE0E9D"/>
    <w:rsid w:val="00BE26A2"/>
    <w:rsid w:val="00BE2A85"/>
    <w:rsid w:val="00BE3F38"/>
    <w:rsid w:val="00BE45E6"/>
    <w:rsid w:val="00BE6D8D"/>
    <w:rsid w:val="00BF47CD"/>
    <w:rsid w:val="00BF6600"/>
    <w:rsid w:val="00BF7D77"/>
    <w:rsid w:val="00C00BF5"/>
    <w:rsid w:val="00C068C7"/>
    <w:rsid w:val="00C072FA"/>
    <w:rsid w:val="00C07731"/>
    <w:rsid w:val="00C154B0"/>
    <w:rsid w:val="00C17636"/>
    <w:rsid w:val="00C21754"/>
    <w:rsid w:val="00C24D04"/>
    <w:rsid w:val="00C25484"/>
    <w:rsid w:val="00C267C6"/>
    <w:rsid w:val="00C27343"/>
    <w:rsid w:val="00C27BBB"/>
    <w:rsid w:val="00C30FB6"/>
    <w:rsid w:val="00C32942"/>
    <w:rsid w:val="00C32F37"/>
    <w:rsid w:val="00C50929"/>
    <w:rsid w:val="00C5290C"/>
    <w:rsid w:val="00C57C30"/>
    <w:rsid w:val="00C57E94"/>
    <w:rsid w:val="00C600D7"/>
    <w:rsid w:val="00C608E0"/>
    <w:rsid w:val="00C61D5D"/>
    <w:rsid w:val="00C61F73"/>
    <w:rsid w:val="00C64A8E"/>
    <w:rsid w:val="00C6557C"/>
    <w:rsid w:val="00C673D6"/>
    <w:rsid w:val="00C73BC9"/>
    <w:rsid w:val="00C7690F"/>
    <w:rsid w:val="00C76E90"/>
    <w:rsid w:val="00C82080"/>
    <w:rsid w:val="00C83800"/>
    <w:rsid w:val="00C84276"/>
    <w:rsid w:val="00C84B6A"/>
    <w:rsid w:val="00C8596C"/>
    <w:rsid w:val="00C85F29"/>
    <w:rsid w:val="00C8684B"/>
    <w:rsid w:val="00C87B22"/>
    <w:rsid w:val="00C903FE"/>
    <w:rsid w:val="00C90507"/>
    <w:rsid w:val="00C9060F"/>
    <w:rsid w:val="00C920FE"/>
    <w:rsid w:val="00C93F70"/>
    <w:rsid w:val="00C94FE3"/>
    <w:rsid w:val="00C975D3"/>
    <w:rsid w:val="00CA1F0F"/>
    <w:rsid w:val="00CA28A3"/>
    <w:rsid w:val="00CA41AF"/>
    <w:rsid w:val="00CA554C"/>
    <w:rsid w:val="00CA64CA"/>
    <w:rsid w:val="00CB28F3"/>
    <w:rsid w:val="00CB61C3"/>
    <w:rsid w:val="00CC00B6"/>
    <w:rsid w:val="00CC15FE"/>
    <w:rsid w:val="00CC4DEF"/>
    <w:rsid w:val="00CC5C54"/>
    <w:rsid w:val="00CC6623"/>
    <w:rsid w:val="00CC6E42"/>
    <w:rsid w:val="00CC7048"/>
    <w:rsid w:val="00CC7377"/>
    <w:rsid w:val="00CD1CB5"/>
    <w:rsid w:val="00CD1E64"/>
    <w:rsid w:val="00CD31A0"/>
    <w:rsid w:val="00CD5125"/>
    <w:rsid w:val="00CE0698"/>
    <w:rsid w:val="00CE16A0"/>
    <w:rsid w:val="00CE306F"/>
    <w:rsid w:val="00CE4A11"/>
    <w:rsid w:val="00CF1AE6"/>
    <w:rsid w:val="00CF34DD"/>
    <w:rsid w:val="00D007A5"/>
    <w:rsid w:val="00D0168C"/>
    <w:rsid w:val="00D01FC0"/>
    <w:rsid w:val="00D049E7"/>
    <w:rsid w:val="00D06E9B"/>
    <w:rsid w:val="00D106DA"/>
    <w:rsid w:val="00D10E92"/>
    <w:rsid w:val="00D15D26"/>
    <w:rsid w:val="00D21B0A"/>
    <w:rsid w:val="00D245E3"/>
    <w:rsid w:val="00D247DD"/>
    <w:rsid w:val="00D24E19"/>
    <w:rsid w:val="00D27BDB"/>
    <w:rsid w:val="00D30486"/>
    <w:rsid w:val="00D30E55"/>
    <w:rsid w:val="00D31277"/>
    <w:rsid w:val="00D33521"/>
    <w:rsid w:val="00D33EAB"/>
    <w:rsid w:val="00D34C8F"/>
    <w:rsid w:val="00D3686C"/>
    <w:rsid w:val="00D44AC3"/>
    <w:rsid w:val="00D53B72"/>
    <w:rsid w:val="00D53D5F"/>
    <w:rsid w:val="00D56E4A"/>
    <w:rsid w:val="00D5701F"/>
    <w:rsid w:val="00D624DC"/>
    <w:rsid w:val="00D6677C"/>
    <w:rsid w:val="00D66A66"/>
    <w:rsid w:val="00D678E5"/>
    <w:rsid w:val="00D70822"/>
    <w:rsid w:val="00D737F8"/>
    <w:rsid w:val="00D73BFE"/>
    <w:rsid w:val="00D83359"/>
    <w:rsid w:val="00D85007"/>
    <w:rsid w:val="00D86A52"/>
    <w:rsid w:val="00D87710"/>
    <w:rsid w:val="00D92ABD"/>
    <w:rsid w:val="00D977CE"/>
    <w:rsid w:val="00DA07E6"/>
    <w:rsid w:val="00DA1202"/>
    <w:rsid w:val="00DA1D39"/>
    <w:rsid w:val="00DA3C2A"/>
    <w:rsid w:val="00DB4C35"/>
    <w:rsid w:val="00DB5C50"/>
    <w:rsid w:val="00DC16FF"/>
    <w:rsid w:val="00DC26A3"/>
    <w:rsid w:val="00DC3628"/>
    <w:rsid w:val="00DC38D1"/>
    <w:rsid w:val="00DC4094"/>
    <w:rsid w:val="00DC4161"/>
    <w:rsid w:val="00DC5D8C"/>
    <w:rsid w:val="00DD03B4"/>
    <w:rsid w:val="00DD6737"/>
    <w:rsid w:val="00DE0811"/>
    <w:rsid w:val="00DE102E"/>
    <w:rsid w:val="00DE3DA6"/>
    <w:rsid w:val="00DE612B"/>
    <w:rsid w:val="00DE6E02"/>
    <w:rsid w:val="00DF7B45"/>
    <w:rsid w:val="00E0591D"/>
    <w:rsid w:val="00E06CCE"/>
    <w:rsid w:val="00E07E5D"/>
    <w:rsid w:val="00E10096"/>
    <w:rsid w:val="00E103C3"/>
    <w:rsid w:val="00E13440"/>
    <w:rsid w:val="00E154EA"/>
    <w:rsid w:val="00E1562F"/>
    <w:rsid w:val="00E21287"/>
    <w:rsid w:val="00E2317C"/>
    <w:rsid w:val="00E25BAC"/>
    <w:rsid w:val="00E26570"/>
    <w:rsid w:val="00E269B9"/>
    <w:rsid w:val="00E30ADE"/>
    <w:rsid w:val="00E3350C"/>
    <w:rsid w:val="00E40DDD"/>
    <w:rsid w:val="00E420B8"/>
    <w:rsid w:val="00E4413F"/>
    <w:rsid w:val="00E475CC"/>
    <w:rsid w:val="00E535AB"/>
    <w:rsid w:val="00E54C47"/>
    <w:rsid w:val="00E64DA8"/>
    <w:rsid w:val="00E73187"/>
    <w:rsid w:val="00E746A0"/>
    <w:rsid w:val="00E74835"/>
    <w:rsid w:val="00E768AB"/>
    <w:rsid w:val="00E82A96"/>
    <w:rsid w:val="00E82ECD"/>
    <w:rsid w:val="00E8649B"/>
    <w:rsid w:val="00E86A7F"/>
    <w:rsid w:val="00E9530D"/>
    <w:rsid w:val="00E95567"/>
    <w:rsid w:val="00EA1598"/>
    <w:rsid w:val="00EA40A1"/>
    <w:rsid w:val="00EA7BC7"/>
    <w:rsid w:val="00EB202D"/>
    <w:rsid w:val="00EB6F7D"/>
    <w:rsid w:val="00EB767B"/>
    <w:rsid w:val="00EC1C93"/>
    <w:rsid w:val="00EC7415"/>
    <w:rsid w:val="00EC766F"/>
    <w:rsid w:val="00ED7BB6"/>
    <w:rsid w:val="00EE1B43"/>
    <w:rsid w:val="00EE1DE7"/>
    <w:rsid w:val="00EE29B3"/>
    <w:rsid w:val="00EE3061"/>
    <w:rsid w:val="00EE31C4"/>
    <w:rsid w:val="00EE368D"/>
    <w:rsid w:val="00EE5FD0"/>
    <w:rsid w:val="00EE7690"/>
    <w:rsid w:val="00EE77B2"/>
    <w:rsid w:val="00EF43D6"/>
    <w:rsid w:val="00F0307F"/>
    <w:rsid w:val="00F046ED"/>
    <w:rsid w:val="00F05089"/>
    <w:rsid w:val="00F0521E"/>
    <w:rsid w:val="00F05AB1"/>
    <w:rsid w:val="00F05EF5"/>
    <w:rsid w:val="00F06662"/>
    <w:rsid w:val="00F12DD2"/>
    <w:rsid w:val="00F140A5"/>
    <w:rsid w:val="00F14A74"/>
    <w:rsid w:val="00F1718F"/>
    <w:rsid w:val="00F2380D"/>
    <w:rsid w:val="00F253CB"/>
    <w:rsid w:val="00F26B63"/>
    <w:rsid w:val="00F33F09"/>
    <w:rsid w:val="00F34998"/>
    <w:rsid w:val="00F356F0"/>
    <w:rsid w:val="00F36142"/>
    <w:rsid w:val="00F368B6"/>
    <w:rsid w:val="00F414CB"/>
    <w:rsid w:val="00F44652"/>
    <w:rsid w:val="00F4591B"/>
    <w:rsid w:val="00F51D36"/>
    <w:rsid w:val="00F545A9"/>
    <w:rsid w:val="00F55AAA"/>
    <w:rsid w:val="00F63167"/>
    <w:rsid w:val="00F64994"/>
    <w:rsid w:val="00F6644B"/>
    <w:rsid w:val="00F6653A"/>
    <w:rsid w:val="00F66768"/>
    <w:rsid w:val="00F66B8A"/>
    <w:rsid w:val="00F70596"/>
    <w:rsid w:val="00F71F4C"/>
    <w:rsid w:val="00F72C6F"/>
    <w:rsid w:val="00F72E67"/>
    <w:rsid w:val="00F74181"/>
    <w:rsid w:val="00F80D5C"/>
    <w:rsid w:val="00F817CF"/>
    <w:rsid w:val="00F82B7B"/>
    <w:rsid w:val="00F8350A"/>
    <w:rsid w:val="00F83C25"/>
    <w:rsid w:val="00F84BA2"/>
    <w:rsid w:val="00F8773C"/>
    <w:rsid w:val="00F91F56"/>
    <w:rsid w:val="00F91FA0"/>
    <w:rsid w:val="00F92C2E"/>
    <w:rsid w:val="00F94CFD"/>
    <w:rsid w:val="00F94FC6"/>
    <w:rsid w:val="00FA2C44"/>
    <w:rsid w:val="00FA5D99"/>
    <w:rsid w:val="00FB7033"/>
    <w:rsid w:val="00FC1891"/>
    <w:rsid w:val="00FC26C1"/>
    <w:rsid w:val="00FC4FD0"/>
    <w:rsid w:val="00FC5E1E"/>
    <w:rsid w:val="00FC5E38"/>
    <w:rsid w:val="00FC6B77"/>
    <w:rsid w:val="00FD575F"/>
    <w:rsid w:val="00FE0087"/>
    <w:rsid w:val="00FE1E21"/>
    <w:rsid w:val="00FE6872"/>
    <w:rsid w:val="00FE7A0F"/>
    <w:rsid w:val="00FF5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CDA"/>
    <w:pPr>
      <w:spacing w:after="120"/>
    </w:pPr>
    <w:rPr>
      <w:rFonts w:ascii="Segoe UI" w:eastAsia="Segoe UI" w:hAnsi="Segoe UI" w:cs="Segoe UI"/>
      <w:sz w:val="18"/>
      <w:szCs w:val="18"/>
      <w:lang w:eastAsia="ja-JP" w:bidi="ar-SY"/>
    </w:rPr>
  </w:style>
  <w:style w:type="paragraph" w:styleId="Heading1">
    <w:name w:val="heading 1"/>
    <w:basedOn w:val="Normal"/>
    <w:next w:val="Normal"/>
    <w:link w:val="Heading1Char"/>
    <w:qFormat/>
    <w:rsid w:val="00556CDA"/>
    <w:pPr>
      <w:keepNext/>
      <w:spacing w:before="240"/>
      <w:outlineLvl w:val="0"/>
    </w:pPr>
    <w:rPr>
      <w:rFonts w:ascii="Segoe Semibold" w:hAnsi="Segoe Semibold"/>
      <w:b/>
      <w:kern w:val="32"/>
      <w:sz w:val="28"/>
      <w:szCs w:val="28"/>
    </w:rPr>
  </w:style>
  <w:style w:type="paragraph" w:styleId="Heading2">
    <w:name w:val="heading 2"/>
    <w:basedOn w:val="Normal"/>
    <w:next w:val="Normal"/>
    <w:link w:val="Heading2Char"/>
    <w:uiPriority w:val="9"/>
    <w:unhideWhenUsed/>
    <w:qFormat/>
    <w:rsid w:val="00556CDA"/>
    <w:pPr>
      <w:keepNext/>
      <w:keepLines/>
      <w:spacing w:before="200" w:after="0" w:line="276" w:lineRule="auto"/>
      <w:outlineLvl w:val="1"/>
    </w:pPr>
    <w:rPr>
      <w:rFonts w:asciiTheme="majorHAnsi" w:eastAsiaTheme="majorEastAsia" w:hAnsiTheme="majorHAnsi" w:cstheme="majorBidi"/>
      <w:b/>
      <w:bCs/>
      <w:sz w:val="24"/>
      <w:szCs w:val="26"/>
      <w:lang w:bidi="ar-SA"/>
    </w:rPr>
  </w:style>
  <w:style w:type="paragraph" w:styleId="Heading3">
    <w:name w:val="heading 3"/>
    <w:basedOn w:val="Normal"/>
    <w:next w:val="Normal"/>
    <w:link w:val="Heading3Char"/>
    <w:qFormat/>
    <w:rsid w:val="00556CDA"/>
    <w:pPr>
      <w:keepNext/>
      <w:spacing w:before="120"/>
      <w:outlineLvl w:val="2"/>
    </w:pPr>
    <w:rPr>
      <w:b/>
      <w:sz w:val="20"/>
      <w:szCs w:val="28"/>
    </w:rPr>
  </w:style>
  <w:style w:type="paragraph" w:styleId="Heading4">
    <w:name w:val="heading 4"/>
    <w:basedOn w:val="Normal"/>
    <w:next w:val="Normal"/>
    <w:link w:val="Heading4Char"/>
    <w:qFormat/>
    <w:rsid w:val="00556CDA"/>
    <w:pPr>
      <w:keepNext/>
      <w:spacing w:before="200" w:line="276" w:lineRule="auto"/>
      <w:outlineLvl w:val="3"/>
    </w:pPr>
    <w:rPr>
      <w:rFonts w:ascii="Cambria" w:hAnsi="Cambria"/>
      <w:b/>
      <w:i/>
      <w:color w:val="4F81BD"/>
      <w:sz w:val="22"/>
      <w:szCs w:val="22"/>
      <w:lang w:eastAsia="en-US"/>
    </w:rPr>
  </w:style>
  <w:style w:type="paragraph" w:styleId="Heading5">
    <w:name w:val="heading 5"/>
    <w:basedOn w:val="Normal"/>
    <w:next w:val="Normal"/>
    <w:link w:val="Heading5Char"/>
    <w:qFormat/>
    <w:rsid w:val="00556CDA"/>
    <w:pPr>
      <w:keepNext/>
      <w:spacing w:before="200" w:line="276" w:lineRule="auto"/>
      <w:outlineLvl w:val="4"/>
    </w:pPr>
    <w:rPr>
      <w:rFonts w:ascii="Cambria" w:hAnsi="Cambria"/>
      <w:color w:val="243F60"/>
      <w:sz w:val="22"/>
      <w:szCs w:val="22"/>
      <w:lang w:eastAsia="en-US"/>
    </w:rPr>
  </w:style>
  <w:style w:type="paragraph" w:styleId="Heading6">
    <w:name w:val="heading 6"/>
    <w:basedOn w:val="Normal"/>
    <w:next w:val="Normal"/>
    <w:qFormat/>
    <w:rsid w:val="00924BEF"/>
    <w:pPr>
      <w:spacing w:before="240"/>
      <w:outlineLvl w:val="5"/>
    </w:pPr>
    <w:rPr>
      <w:rFonts w:ascii="Times New Roman" w:hAnsi="Times New Roman" w:cs="Times New Roman"/>
      <w:b/>
      <w:bCs/>
    </w:rPr>
  </w:style>
  <w:style w:type="paragraph" w:styleId="Heading7">
    <w:name w:val="heading 7"/>
    <w:basedOn w:val="Normal"/>
    <w:next w:val="Normal"/>
    <w:qFormat/>
    <w:rsid w:val="00924BEF"/>
    <w:pPr>
      <w:spacing w:before="240"/>
      <w:outlineLvl w:val="6"/>
    </w:pPr>
    <w:rPr>
      <w:rFonts w:ascii="Times New Roman" w:hAnsi="Times New Roman" w:cs="Times New Roman"/>
      <w:sz w:val="24"/>
      <w:szCs w:val="24"/>
    </w:rPr>
  </w:style>
  <w:style w:type="paragraph" w:styleId="Heading8">
    <w:name w:val="heading 8"/>
    <w:basedOn w:val="Normal"/>
    <w:next w:val="Normal"/>
    <w:qFormat/>
    <w:rsid w:val="00924BEF"/>
    <w:p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924BEF"/>
    <w:pPr>
      <w:spacing w:before="240"/>
      <w:outlineLvl w:val="8"/>
    </w:pPr>
  </w:style>
  <w:style w:type="character" w:default="1" w:styleId="DefaultParagraphFont">
    <w:name w:val="Default Paragraph Font"/>
    <w:uiPriority w:val="1"/>
    <w:semiHidden/>
    <w:unhideWhenUsed/>
    <w:rsid w:val="00556CD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56CDA"/>
  </w:style>
  <w:style w:type="paragraph" w:styleId="Header">
    <w:name w:val="header"/>
    <w:basedOn w:val="Normal"/>
    <w:link w:val="HeaderChar"/>
    <w:rsid w:val="00556CDA"/>
    <w:pPr>
      <w:tabs>
        <w:tab w:val="center" w:pos="4320"/>
        <w:tab w:val="right" w:pos="8640"/>
      </w:tabs>
    </w:pPr>
  </w:style>
  <w:style w:type="paragraph" w:styleId="Footer">
    <w:name w:val="footer"/>
    <w:basedOn w:val="Normal"/>
    <w:link w:val="FooterChar"/>
    <w:rsid w:val="00556CDA"/>
    <w:pPr>
      <w:tabs>
        <w:tab w:val="right" w:pos="10080"/>
      </w:tabs>
      <w:spacing w:before="240"/>
    </w:pPr>
  </w:style>
  <w:style w:type="table" w:styleId="TableGrid">
    <w:name w:val="Table Grid"/>
    <w:basedOn w:val="TableNormal"/>
    <w:rsid w:val="00885042"/>
    <w:pPr>
      <w:spacing w:before="60" w:after="60"/>
    </w:pPr>
    <w:rPr>
      <w:rFonts w:ascii="Arial Narrow" w:eastAsia="Arial Narrow" w:hAnsi="Arial Narrow" w:cs="Arial Narrow"/>
      <w:sz w:val="18"/>
      <w:szCs w:val="18"/>
    </w:rPr>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Lucida Handwriting" w:eastAsia="Lucida Handwriting" w:hAnsi="Lucida Handwriting" w:cs="Lucida Handwriting"/>
        <w:b/>
        <w:bCs/>
        <w:sz w:val="18"/>
      </w:rPr>
      <w:tblPr/>
      <w:tcPr>
        <w:tcBorders>
          <w:top w:val="single" w:sz="12" w:space="0" w:color="999999"/>
          <w:bottom w:val="single" w:sz="12" w:space="0" w:color="999999"/>
        </w:tcBorders>
        <w:shd w:val="clear" w:color="auto" w:fill="E6E6E6"/>
      </w:tcPr>
    </w:tblStylePr>
    <w:tblStylePr w:type="band1Horz">
      <w:rPr>
        <w:rFonts w:ascii="Tahoma" w:hAnsi="Tahoma" w:cs="Tahoma"/>
        <w:sz w:val="18"/>
        <w:szCs w:val="18"/>
      </w:rPr>
      <w:tblPr/>
      <w:tcPr>
        <w:tcBorders>
          <w:top w:val="single" w:sz="8" w:space="0" w:color="999999"/>
          <w:bottom w:val="single" w:sz="8" w:space="0" w:color="999999"/>
          <w:insideH w:val="single" w:sz="8" w:space="0" w:color="999999"/>
        </w:tcBorders>
      </w:tcPr>
    </w:tblStylePr>
    <w:tblStylePr w:type="band2Horz">
      <w:rPr>
        <w:rFonts w:ascii="Tahoma" w:eastAsia="Tahoma" w:hAnsi="Tahoma" w:cs="Tahoma"/>
        <w:sz w:val="18"/>
        <w:szCs w:val="18"/>
      </w:rPr>
    </w:tblStylePr>
  </w:style>
  <w:style w:type="paragraph" w:customStyle="1" w:styleId="Hidden">
    <w:name w:val="Hidden"/>
    <w:basedOn w:val="Normal"/>
    <w:rsid w:val="00885042"/>
    <w:pPr>
      <w:shd w:val="clear" w:color="auto" w:fill="FFFF99"/>
    </w:pPr>
    <w:rPr>
      <w:vanish/>
      <w:color w:val="0000FF"/>
    </w:rPr>
  </w:style>
  <w:style w:type="paragraph" w:customStyle="1" w:styleId="NumHeading1">
    <w:name w:val="Num Heading 1"/>
    <w:basedOn w:val="Heading1"/>
    <w:next w:val="Normal"/>
    <w:link w:val="NumHeading1Char"/>
    <w:rsid w:val="00885042"/>
    <w:pPr>
      <w:numPr>
        <w:numId w:val="2"/>
      </w:numPr>
    </w:pPr>
  </w:style>
  <w:style w:type="paragraph" w:customStyle="1" w:styleId="NumHeading2">
    <w:name w:val="Num Heading 2"/>
    <w:basedOn w:val="Heading2"/>
    <w:next w:val="Normal"/>
    <w:rsid w:val="00885042"/>
    <w:pPr>
      <w:numPr>
        <w:ilvl w:val="1"/>
        <w:numId w:val="2"/>
      </w:numPr>
    </w:pPr>
  </w:style>
  <w:style w:type="paragraph" w:customStyle="1" w:styleId="NumHeading3">
    <w:name w:val="Num Heading 3"/>
    <w:basedOn w:val="Heading3"/>
    <w:next w:val="Normal"/>
    <w:rsid w:val="00885042"/>
    <w:pPr>
      <w:numPr>
        <w:ilvl w:val="2"/>
        <w:numId w:val="2"/>
      </w:numPr>
    </w:pPr>
  </w:style>
  <w:style w:type="paragraph" w:customStyle="1" w:styleId="NumHeading4">
    <w:name w:val="Num Heading 4"/>
    <w:basedOn w:val="Heading4"/>
    <w:next w:val="Normal"/>
    <w:rsid w:val="00885042"/>
    <w:pPr>
      <w:numPr>
        <w:ilvl w:val="3"/>
        <w:numId w:val="2"/>
      </w:numPr>
    </w:pPr>
  </w:style>
  <w:style w:type="paragraph" w:styleId="Caption">
    <w:name w:val="caption"/>
    <w:basedOn w:val="Normal"/>
    <w:next w:val="Normal"/>
    <w:qFormat/>
    <w:rsid w:val="00885042"/>
    <w:pPr>
      <w:spacing w:before="60"/>
    </w:pPr>
    <w:rPr>
      <w:rFonts w:ascii="Arial Narrow" w:eastAsia="Arial Narrow" w:hAnsi="Arial Narrow" w:cs="Arial Narrow"/>
      <w:sz w:val="16"/>
      <w:szCs w:val="16"/>
    </w:rPr>
  </w:style>
  <w:style w:type="numbering" w:customStyle="1" w:styleId="Bullets">
    <w:name w:val="Bullets"/>
    <w:rsid w:val="00885042"/>
    <w:pPr>
      <w:numPr>
        <w:numId w:val="1"/>
      </w:numPr>
    </w:pPr>
  </w:style>
  <w:style w:type="paragraph" w:styleId="FootnoteText">
    <w:name w:val="footnote text"/>
    <w:basedOn w:val="Normal"/>
    <w:semiHidden/>
    <w:rsid w:val="00D30E55"/>
    <w:rPr>
      <w:sz w:val="16"/>
      <w:szCs w:val="16"/>
    </w:rPr>
  </w:style>
  <w:style w:type="table" w:customStyle="1" w:styleId="TableGridComplex">
    <w:name w:val="Table Grid Complex"/>
    <w:basedOn w:val="TableGrid"/>
    <w:rsid w:val="00885042"/>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Tahoma" w:eastAsia="Lucida Handwriting" w:hAnsi="Tahoma" w:cs="Lucida Handwriting"/>
        <w:b/>
        <w:bCs/>
        <w:sz w:val="18"/>
      </w:rPr>
      <w:tblPr/>
      <w:tcPr>
        <w:tcBorders>
          <w:top w:val="single" w:sz="12" w:space="0" w:color="999999"/>
          <w:bottom w:val="single" w:sz="12" w:space="0" w:color="999999"/>
        </w:tcBorders>
        <w:shd w:val="clear" w:color="auto" w:fill="E6E6E6"/>
      </w:tcPr>
    </w:tblStylePr>
    <w:tblStylePr w:type="lastRow">
      <w:rPr>
        <w:rFonts w:ascii="Tahoma" w:eastAsia="Tahoma" w:hAnsi="Tahoma" w:cs="Tahoma"/>
        <w:sz w:val="18"/>
        <w:szCs w:val="18"/>
      </w:rPr>
      <w:tblPr/>
      <w:tcPr>
        <w:shd w:val="clear" w:color="auto" w:fill="E6E6E6"/>
      </w:tcPr>
    </w:tblStylePr>
    <w:tblStylePr w:type="firstCol">
      <w:rPr>
        <w:rFonts w:ascii="Tahoma" w:eastAsia="Tahoma" w:hAnsi="Tahoma" w:cs="Tahoma"/>
        <w:sz w:val="18"/>
        <w:szCs w:val="18"/>
      </w:rPr>
      <w:tblPr/>
      <w:tcPr>
        <w:shd w:val="clear" w:color="auto" w:fill="E6E6E6"/>
      </w:tcPr>
    </w:tblStylePr>
    <w:tblStylePr w:type="lastCol">
      <w:rPr>
        <w:rFonts w:ascii="Tahoma" w:eastAsia="Tahoma" w:hAnsi="Tahoma" w:cs="Tahoma"/>
        <w:sz w:val="18"/>
        <w:szCs w:val="18"/>
      </w:rPr>
      <w:tblPr/>
      <w:tcPr>
        <w:shd w:val="clear" w:color="auto" w:fill="E6E6E6"/>
      </w:tcPr>
    </w:tblStylePr>
    <w:tblStylePr w:type="band1Horz">
      <w:rPr>
        <w:rFonts w:ascii="Tahoma" w:hAnsi="Tahoma" w:cs="Tahoma"/>
        <w:sz w:val="18"/>
        <w:szCs w:val="18"/>
      </w:rPr>
      <w:tblPr/>
      <w:tcPr>
        <w:tcBorders>
          <w:top w:val="single" w:sz="8" w:space="0" w:color="999999"/>
          <w:bottom w:val="single" w:sz="8" w:space="0" w:color="999999"/>
          <w:insideH w:val="single" w:sz="8" w:space="0" w:color="999999"/>
        </w:tcBorders>
      </w:tcPr>
    </w:tblStylePr>
    <w:tblStylePr w:type="band2Horz">
      <w:rPr>
        <w:rFonts w:ascii="Tahoma" w:eastAsia="Tahoma" w:hAnsi="Tahoma" w:cs="Tahoma"/>
        <w:sz w:val="18"/>
        <w:szCs w:val="18"/>
      </w:rPr>
    </w:tblStylePr>
  </w:style>
  <w:style w:type="paragraph" w:customStyle="1" w:styleId="HeadingAppendixOld">
    <w:name w:val="Heading Appendix Old"/>
    <w:basedOn w:val="Normal"/>
    <w:next w:val="Normal"/>
    <w:rsid w:val="00885042"/>
    <w:pPr>
      <w:keepNext/>
      <w:pageBreakBefore/>
      <w:numPr>
        <w:ilvl w:val="7"/>
        <w:numId w:val="2"/>
      </w:numPr>
    </w:pPr>
    <w:rPr>
      <w:rFonts w:ascii="Arial Black" w:eastAsia="Arial Black" w:hAnsi="Arial Black" w:cs="Arial Black"/>
      <w:smallCaps/>
      <w:color w:val="333333"/>
      <w:sz w:val="32"/>
      <w:szCs w:val="32"/>
    </w:rPr>
  </w:style>
  <w:style w:type="paragraph" w:styleId="BalloonText">
    <w:name w:val="Balloon Text"/>
    <w:basedOn w:val="Normal"/>
    <w:link w:val="BalloonTextChar"/>
    <w:semiHidden/>
    <w:rsid w:val="00556CDA"/>
    <w:rPr>
      <w:rFonts w:ascii="Tahoma" w:hAnsi="Tahoma"/>
      <w:sz w:val="16"/>
      <w:szCs w:val="16"/>
    </w:rPr>
  </w:style>
  <w:style w:type="paragraph" w:styleId="TOC1">
    <w:name w:val="toc 1"/>
    <w:basedOn w:val="Normal"/>
    <w:next w:val="Normal"/>
    <w:autoRedefine/>
    <w:uiPriority w:val="39"/>
    <w:rsid w:val="00556CDA"/>
    <w:pPr>
      <w:widowControl w:val="0"/>
      <w:tabs>
        <w:tab w:val="right" w:leader="dot" w:pos="10800"/>
      </w:tabs>
      <w:ind w:left="1440" w:right="2880"/>
    </w:pPr>
    <w:rPr>
      <w:b/>
    </w:rPr>
  </w:style>
  <w:style w:type="paragraph" w:styleId="TOC2">
    <w:name w:val="toc 2"/>
    <w:basedOn w:val="TOC1"/>
    <w:next w:val="Normal"/>
    <w:autoRedefine/>
    <w:uiPriority w:val="39"/>
    <w:rsid w:val="00556CDA"/>
    <w:pPr>
      <w:ind w:left="2160"/>
    </w:pPr>
    <w:rPr>
      <w:b w:val="0"/>
    </w:rPr>
  </w:style>
  <w:style w:type="character" w:styleId="Hyperlink">
    <w:name w:val="Hyperlink"/>
    <w:basedOn w:val="DefaultParagraphFont"/>
    <w:uiPriority w:val="99"/>
    <w:rsid w:val="00556CDA"/>
    <w:rPr>
      <w:color w:val="0000FF"/>
      <w:u w:val="single"/>
    </w:rPr>
  </w:style>
  <w:style w:type="character" w:styleId="PlaceholderText">
    <w:name w:val="Placeholder Text"/>
    <w:basedOn w:val="DefaultParagraphFont"/>
    <w:uiPriority w:val="99"/>
    <w:semiHidden/>
    <w:rsid w:val="00984BAD"/>
    <w:rPr>
      <w:color w:val="808080"/>
    </w:rPr>
  </w:style>
  <w:style w:type="paragraph" w:styleId="TOC3">
    <w:name w:val="toc 3"/>
    <w:basedOn w:val="TOC1"/>
    <w:next w:val="Normal"/>
    <w:autoRedefine/>
    <w:rsid w:val="00556CDA"/>
    <w:rPr>
      <w:b w:val="0"/>
    </w:rPr>
  </w:style>
  <w:style w:type="paragraph" w:styleId="TOC4">
    <w:name w:val="toc 4"/>
    <w:basedOn w:val="Normal"/>
    <w:next w:val="Normal"/>
    <w:semiHidden/>
    <w:rsid w:val="00885042"/>
    <w:pPr>
      <w:spacing w:before="60"/>
      <w:ind w:left="601"/>
    </w:pPr>
  </w:style>
  <w:style w:type="paragraph" w:customStyle="1" w:styleId="CodeBlock">
    <w:name w:val="Code Block"/>
    <w:basedOn w:val="Normal"/>
    <w:rsid w:val="00885042"/>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Note">
    <w:name w:val="Note"/>
    <w:basedOn w:val="Normal"/>
    <w:rsid w:val="00885042"/>
    <w:pPr>
      <w:pBdr>
        <w:left w:val="single" w:sz="18" w:space="6" w:color="808080"/>
      </w:pBdr>
      <w:ind w:left="567"/>
    </w:pPr>
  </w:style>
  <w:style w:type="numbering" w:customStyle="1" w:styleId="NumberedList">
    <w:name w:val="Numbered List"/>
    <w:basedOn w:val="NoList"/>
    <w:rsid w:val="00885042"/>
    <w:pPr>
      <w:numPr>
        <w:numId w:val="6"/>
      </w:numPr>
    </w:pPr>
  </w:style>
  <w:style w:type="paragraph" w:customStyle="1" w:styleId="NoteTitle">
    <w:name w:val="Note Title"/>
    <w:basedOn w:val="Note"/>
    <w:next w:val="Note"/>
    <w:rsid w:val="00885042"/>
    <w:pPr>
      <w:keepNext/>
    </w:pPr>
    <w:rPr>
      <w:b/>
      <w:bCs/>
    </w:rPr>
  </w:style>
  <w:style w:type="paragraph" w:customStyle="1" w:styleId="TableNormal1">
    <w:name w:val="Table Normal1"/>
    <w:basedOn w:val="Normal"/>
    <w:rsid w:val="004D370E"/>
    <w:pPr>
      <w:spacing w:before="60"/>
    </w:pPr>
    <w:rPr>
      <w:rFonts w:ascii="Arial Narrow" w:eastAsia="Arial Narrow" w:hAnsi="Arial Narrow" w:cs="Arial Narrow"/>
    </w:rPr>
  </w:style>
  <w:style w:type="paragraph" w:customStyle="1" w:styleId="HeadingPart">
    <w:name w:val="Heading Part"/>
    <w:basedOn w:val="Normal"/>
    <w:next w:val="Normal"/>
    <w:rsid w:val="00885042"/>
    <w:pPr>
      <w:pageBreakBefore/>
      <w:numPr>
        <w:ilvl w:val="8"/>
        <w:numId w:val="2"/>
      </w:numPr>
      <w:spacing w:before="480"/>
      <w:outlineLvl w:val="8"/>
    </w:pPr>
    <w:rPr>
      <w:rFonts w:ascii="Arial Black" w:eastAsia="Arial Black" w:hAnsi="Arial Black" w:cs="Arial Black"/>
      <w:b/>
      <w:smallCaps/>
      <w:color w:val="333333"/>
      <w:sz w:val="32"/>
      <w:szCs w:val="32"/>
    </w:rPr>
  </w:style>
  <w:style w:type="paragraph" w:customStyle="1" w:styleId="NumHeading5">
    <w:name w:val="Num Heading 5"/>
    <w:basedOn w:val="Heading5"/>
    <w:next w:val="Normal"/>
    <w:rsid w:val="00885042"/>
    <w:pPr>
      <w:numPr>
        <w:ilvl w:val="4"/>
        <w:numId w:val="2"/>
      </w:numPr>
    </w:pPr>
  </w:style>
  <w:style w:type="paragraph" w:styleId="TOC5">
    <w:name w:val="toc 5"/>
    <w:basedOn w:val="Normal"/>
    <w:next w:val="Normal"/>
    <w:semiHidden/>
    <w:rsid w:val="00885042"/>
    <w:pPr>
      <w:spacing w:before="60"/>
      <w:ind w:left="799"/>
    </w:pPr>
  </w:style>
  <w:style w:type="paragraph" w:styleId="TOC8">
    <w:name w:val="toc 8"/>
    <w:basedOn w:val="Normal"/>
    <w:next w:val="Normal"/>
    <w:semiHidden/>
    <w:rsid w:val="00885042"/>
    <w:pPr>
      <w:spacing w:before="240"/>
    </w:pPr>
    <w:rPr>
      <w:b/>
      <w:bCs/>
      <w:i/>
      <w:iCs/>
    </w:rPr>
  </w:style>
  <w:style w:type="paragraph" w:styleId="TOC9">
    <w:name w:val="toc 9"/>
    <w:basedOn w:val="Normal"/>
    <w:next w:val="Normal"/>
    <w:semiHidden/>
    <w:rsid w:val="00885042"/>
    <w:pPr>
      <w:spacing w:before="240"/>
    </w:pPr>
    <w:rPr>
      <w:b/>
      <w:bCs/>
      <w:sz w:val="24"/>
      <w:szCs w:val="24"/>
    </w:rPr>
  </w:style>
  <w:style w:type="paragraph" w:customStyle="1" w:styleId="HeadingAppendix">
    <w:name w:val="Heading Appendix"/>
    <w:basedOn w:val="Heading1"/>
    <w:next w:val="Normal"/>
    <w:rsid w:val="00885042"/>
  </w:style>
  <w:style w:type="paragraph" w:customStyle="1" w:styleId="FooterSmall">
    <w:name w:val="Footer Small"/>
    <w:basedOn w:val="Footer"/>
    <w:rsid w:val="00885042"/>
    <w:rPr>
      <w:sz w:val="12"/>
      <w:szCs w:val="12"/>
    </w:rPr>
  </w:style>
  <w:style w:type="numbering" w:customStyle="1" w:styleId="Checklist">
    <w:name w:val="Checklist"/>
    <w:basedOn w:val="NoList"/>
    <w:rsid w:val="00885042"/>
    <w:pPr>
      <w:numPr>
        <w:numId w:val="4"/>
      </w:numPr>
    </w:pPr>
  </w:style>
  <w:style w:type="paragraph" w:styleId="DocumentMap">
    <w:name w:val="Document Map"/>
    <w:basedOn w:val="Normal"/>
    <w:semiHidden/>
    <w:rsid w:val="00885042"/>
    <w:pPr>
      <w:shd w:val="clear" w:color="auto" w:fill="000080"/>
    </w:pPr>
    <w:rPr>
      <w:rFonts w:ascii="Tahoma" w:hAnsi="Tahoma" w:cs="Tahoma"/>
    </w:rPr>
  </w:style>
  <w:style w:type="numbering" w:customStyle="1" w:styleId="NumberedListTable">
    <w:name w:val="Numbered List Table"/>
    <w:basedOn w:val="NoList"/>
    <w:rsid w:val="00885042"/>
    <w:pPr>
      <w:numPr>
        <w:numId w:val="3"/>
      </w:numPr>
    </w:pPr>
  </w:style>
  <w:style w:type="numbering" w:customStyle="1" w:styleId="BulletsTable">
    <w:name w:val="Bullets Table"/>
    <w:basedOn w:val="NoList"/>
    <w:rsid w:val="00885042"/>
    <w:pPr>
      <w:numPr>
        <w:numId w:val="5"/>
      </w:numPr>
    </w:pPr>
  </w:style>
  <w:style w:type="paragraph" w:customStyle="1" w:styleId="HorizontalNote">
    <w:name w:val="Horizontal Note"/>
    <w:basedOn w:val="Normal"/>
    <w:rsid w:val="00885042"/>
    <w:pPr>
      <w:pBdr>
        <w:top w:val="single" w:sz="18" w:space="1" w:color="999999"/>
        <w:bottom w:val="single" w:sz="18" w:space="1" w:color="999999"/>
      </w:pBdr>
    </w:pPr>
  </w:style>
  <w:style w:type="paragraph" w:styleId="ListParagraph">
    <w:name w:val="List Paragraph"/>
    <w:basedOn w:val="Normal"/>
    <w:uiPriority w:val="34"/>
    <w:qFormat/>
    <w:rsid w:val="00556CDA"/>
    <w:pPr>
      <w:ind w:left="720"/>
    </w:pPr>
  </w:style>
  <w:style w:type="paragraph" w:customStyle="1" w:styleId="TableNormal2">
    <w:name w:val="Table Normal2"/>
    <w:basedOn w:val="Normal"/>
    <w:rsid w:val="007C6A09"/>
    <w:pPr>
      <w:spacing w:before="60"/>
    </w:pPr>
    <w:rPr>
      <w:rFonts w:ascii="Arial Narrow" w:eastAsia="Arial Narrow" w:hAnsi="Arial Narrow" w:cs="Arial Narrow"/>
    </w:rPr>
  </w:style>
  <w:style w:type="paragraph" w:customStyle="1" w:styleId="TableNormal3">
    <w:name w:val="Table Normal3"/>
    <w:basedOn w:val="Normal"/>
    <w:rsid w:val="0022147D"/>
    <w:pPr>
      <w:spacing w:before="60"/>
    </w:pPr>
    <w:rPr>
      <w:rFonts w:ascii="Arial Narrow" w:eastAsia="Arial Narrow" w:hAnsi="Arial Narrow" w:cs="Arial Narrow"/>
    </w:rPr>
  </w:style>
  <w:style w:type="character" w:styleId="CommentReference">
    <w:name w:val="annotation reference"/>
    <w:basedOn w:val="DefaultParagraphFont"/>
    <w:rsid w:val="00556CDA"/>
    <w:rPr>
      <w:sz w:val="16"/>
      <w:szCs w:val="16"/>
    </w:rPr>
  </w:style>
  <w:style w:type="paragraph" w:styleId="CommentText">
    <w:name w:val="annotation text"/>
    <w:basedOn w:val="Normal"/>
    <w:link w:val="CommentTextChar"/>
    <w:rsid w:val="00556CDA"/>
  </w:style>
  <w:style w:type="character" w:customStyle="1" w:styleId="CommentTextChar">
    <w:name w:val="Comment Text Char"/>
    <w:basedOn w:val="DefaultParagraphFont"/>
    <w:link w:val="CommentText"/>
    <w:rsid w:val="00556CDA"/>
    <w:rPr>
      <w:rFonts w:ascii="Segoe UI" w:eastAsia="Segoe UI" w:hAnsi="Segoe UI" w:cs="Segoe UI"/>
      <w:sz w:val="18"/>
      <w:szCs w:val="18"/>
      <w:lang w:eastAsia="ja-JP" w:bidi="ar-SY"/>
    </w:rPr>
  </w:style>
  <w:style w:type="paragraph" w:styleId="CommentSubject">
    <w:name w:val="annotation subject"/>
    <w:basedOn w:val="CommentText"/>
    <w:next w:val="CommentText"/>
    <w:link w:val="CommentSubjectChar"/>
    <w:rsid w:val="00556CDA"/>
    <w:rPr>
      <w:b/>
    </w:rPr>
  </w:style>
  <w:style w:type="character" w:customStyle="1" w:styleId="CommentSubjectChar">
    <w:name w:val="Comment Subject Char"/>
    <w:basedOn w:val="CommentTextChar"/>
    <w:link w:val="CommentSubject"/>
    <w:rsid w:val="00556CDA"/>
    <w:rPr>
      <w:b/>
    </w:rPr>
  </w:style>
  <w:style w:type="character" w:styleId="FollowedHyperlink">
    <w:name w:val="FollowedHyperlink"/>
    <w:basedOn w:val="DefaultParagraphFont"/>
    <w:rsid w:val="00556CDA"/>
    <w:rPr>
      <w:color w:val="800080"/>
      <w:u w:val="single"/>
    </w:rPr>
  </w:style>
  <w:style w:type="paragraph" w:styleId="NormalWeb">
    <w:name w:val="Normal (Web)"/>
    <w:basedOn w:val="Normal"/>
    <w:uiPriority w:val="99"/>
    <w:unhideWhenUsed/>
    <w:rsid w:val="005A07DF"/>
    <w:pPr>
      <w:spacing w:before="225" w:after="0"/>
    </w:pPr>
    <w:rPr>
      <w:rFonts w:ascii="Verdana" w:eastAsia="Times New Roman" w:hAnsi="Verdana" w:cs="Times New Roman"/>
    </w:rPr>
  </w:style>
  <w:style w:type="paragraph" w:customStyle="1" w:styleId="localbulletnavitem">
    <w:name w:val="localbulletnavitem"/>
    <w:basedOn w:val="Normal"/>
    <w:rsid w:val="005A07DF"/>
    <w:pPr>
      <w:spacing w:before="180" w:after="30"/>
      <w:ind w:left="240" w:hanging="192"/>
    </w:pPr>
    <w:rPr>
      <w:rFonts w:ascii="Verdana" w:eastAsia="Times New Roman" w:hAnsi="Verdana" w:cs="Times New Roman"/>
    </w:rPr>
  </w:style>
  <w:style w:type="character" w:customStyle="1" w:styleId="NumHeading1Char">
    <w:name w:val="Num Heading 1 Char"/>
    <w:basedOn w:val="DefaultParagraphFont"/>
    <w:link w:val="NumHeading1"/>
    <w:rsid w:val="00781EBD"/>
    <w:rPr>
      <w:rFonts w:ascii="Arial Black" w:eastAsia="Arial Black" w:hAnsi="Arial Black" w:cs="Arial Black"/>
      <w:bCs/>
      <w:smallCaps/>
      <w:color w:val="333333"/>
      <w:kern w:val="32"/>
      <w:sz w:val="32"/>
      <w:szCs w:val="32"/>
      <w:lang w:val="en-AU" w:eastAsia="ja-JP"/>
    </w:rPr>
  </w:style>
  <w:style w:type="paragraph" w:customStyle="1" w:styleId="WPBullet">
    <w:name w:val="WP Bullet"/>
    <w:basedOn w:val="Normal"/>
    <w:rsid w:val="0014680C"/>
    <w:pPr>
      <w:numPr>
        <w:numId w:val="7"/>
      </w:numPr>
      <w:spacing w:line="240" w:lineRule="exact"/>
    </w:pPr>
    <w:rPr>
      <w:rFonts w:ascii="Segoe" w:eastAsia="Calibri" w:hAnsi="Segoe" w:cs="Times New Roman"/>
      <w:color w:val="58595B"/>
    </w:rPr>
  </w:style>
  <w:style w:type="paragraph" w:styleId="Revision">
    <w:name w:val="Revision"/>
    <w:hidden/>
    <w:uiPriority w:val="99"/>
    <w:semiHidden/>
    <w:rsid w:val="006141E4"/>
    <w:rPr>
      <w:rFonts w:ascii="Arial" w:eastAsia="Arial" w:hAnsi="Arial" w:cs="Arial"/>
      <w:lang w:val="en-AU" w:eastAsia="ja-JP"/>
    </w:rPr>
  </w:style>
  <w:style w:type="paragraph" w:customStyle="1" w:styleId="WPBody">
    <w:name w:val="WP Body"/>
    <w:basedOn w:val="Normal"/>
    <w:rsid w:val="00417B3E"/>
    <w:pPr>
      <w:spacing w:line="240" w:lineRule="exact"/>
    </w:pPr>
    <w:rPr>
      <w:rFonts w:ascii="Segoe" w:eastAsia="Calibri" w:hAnsi="Segoe" w:cs="Times New Roman"/>
      <w:color w:val="58595B"/>
    </w:rPr>
  </w:style>
  <w:style w:type="paragraph" w:customStyle="1" w:styleId="TableNormal4">
    <w:name w:val="Table Normal4"/>
    <w:basedOn w:val="Normal"/>
    <w:rsid w:val="00885042"/>
    <w:pPr>
      <w:spacing w:before="60"/>
    </w:pPr>
    <w:rPr>
      <w:rFonts w:ascii="Arial Narrow" w:eastAsia="Arial Narrow" w:hAnsi="Arial Narrow" w:cs="Arial Narrow"/>
    </w:rPr>
  </w:style>
  <w:style w:type="table" w:customStyle="1" w:styleId="LightList-Accent11">
    <w:name w:val="Light List - Accent 11"/>
    <w:basedOn w:val="TableNormal"/>
    <w:uiPriority w:val="61"/>
    <w:rsid w:val="00466033"/>
    <w:rPr>
      <w:rFonts w:ascii="Arial" w:eastAsiaTheme="minorHAnsi" w:hAnsi="Arial" w:cs="Arial"/>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link w:val="BodyTextChar"/>
    <w:autoRedefine/>
    <w:rsid w:val="007F6686"/>
    <w:pPr>
      <w:spacing w:after="160"/>
    </w:pPr>
    <w:rPr>
      <w:rFonts w:ascii="Arial" w:eastAsia="MS Mincho" w:hAnsi="Arial"/>
      <w:color w:val="000000"/>
    </w:rPr>
  </w:style>
  <w:style w:type="character" w:customStyle="1" w:styleId="BodyTextChar">
    <w:name w:val="Body Text Char"/>
    <w:basedOn w:val="DefaultParagraphFont"/>
    <w:link w:val="BodyText"/>
    <w:rsid w:val="007F6686"/>
    <w:rPr>
      <w:rFonts w:ascii="Arial" w:eastAsia="MS Mincho" w:hAnsi="Arial"/>
      <w:color w:val="000000"/>
    </w:rPr>
  </w:style>
  <w:style w:type="paragraph" w:customStyle="1" w:styleId="BulletList">
    <w:name w:val="Bullet List"/>
    <w:basedOn w:val="BodyText"/>
    <w:autoRedefine/>
    <w:rsid w:val="007F6686"/>
    <w:pPr>
      <w:numPr>
        <w:numId w:val="8"/>
      </w:numPr>
      <w:tabs>
        <w:tab w:val="clear" w:pos="720"/>
        <w:tab w:val="num" w:pos="360"/>
      </w:tabs>
      <w:spacing w:after="80"/>
      <w:ind w:left="360"/>
    </w:pPr>
  </w:style>
  <w:style w:type="paragraph" w:styleId="TOCHeading">
    <w:name w:val="TOC Heading"/>
    <w:basedOn w:val="Heading1"/>
    <w:next w:val="Normal"/>
    <w:uiPriority w:val="39"/>
    <w:unhideWhenUsed/>
    <w:qFormat/>
    <w:rsid w:val="00323F7A"/>
    <w:pPr>
      <w:keepLines/>
      <w:spacing w:before="480" w:after="0"/>
      <w:outlineLvl w:val="9"/>
    </w:pPr>
    <w:rPr>
      <w:rFonts w:asciiTheme="majorHAnsi" w:eastAsiaTheme="majorEastAsia" w:hAnsiTheme="majorHAnsi" w:cstheme="majorBidi"/>
      <w:color w:val="365F91" w:themeColor="accent1" w:themeShade="BF"/>
      <w:kern w:val="0"/>
    </w:rPr>
  </w:style>
  <w:style w:type="paragraph" w:styleId="Title">
    <w:name w:val="Title"/>
    <w:basedOn w:val="Normal"/>
    <w:next w:val="Normal"/>
    <w:link w:val="TitleChar"/>
    <w:uiPriority w:val="10"/>
    <w:qFormat/>
    <w:rsid w:val="00556CDA"/>
    <w:pPr>
      <w:spacing w:after="300"/>
      <w:contextualSpacing/>
      <w:jc w:val="center"/>
    </w:pPr>
    <w:rPr>
      <w:rFonts w:ascii="Segoe Light" w:eastAsiaTheme="majorEastAsia" w:hAnsi="Segoe Light" w:cstheme="majorBidi"/>
      <w:color w:val="17365D" w:themeColor="text2" w:themeShade="BF"/>
      <w:spacing w:val="5"/>
      <w:kern w:val="28"/>
      <w:sz w:val="72"/>
      <w:szCs w:val="52"/>
      <w:lang w:eastAsia="en-US"/>
    </w:rPr>
  </w:style>
  <w:style w:type="character" w:customStyle="1" w:styleId="TitleChar">
    <w:name w:val="Title Char"/>
    <w:basedOn w:val="DefaultParagraphFont"/>
    <w:link w:val="Title"/>
    <w:uiPriority w:val="10"/>
    <w:rsid w:val="00556CDA"/>
    <w:rPr>
      <w:rFonts w:ascii="Segoe Light" w:eastAsiaTheme="majorEastAsia" w:hAnsi="Segoe Light" w:cstheme="majorBidi"/>
      <w:color w:val="17365D" w:themeColor="text2" w:themeShade="BF"/>
      <w:spacing w:val="5"/>
      <w:kern w:val="28"/>
      <w:sz w:val="72"/>
      <w:szCs w:val="52"/>
      <w:lang w:bidi="ar-SY"/>
    </w:rPr>
  </w:style>
  <w:style w:type="character" w:customStyle="1" w:styleId="HeaderChar">
    <w:name w:val="Header Char"/>
    <w:basedOn w:val="DefaultParagraphFont"/>
    <w:link w:val="Header"/>
    <w:rsid w:val="00556CDA"/>
    <w:rPr>
      <w:rFonts w:ascii="Segoe UI" w:eastAsia="Segoe UI" w:hAnsi="Segoe UI" w:cs="Segoe UI"/>
      <w:sz w:val="18"/>
      <w:szCs w:val="18"/>
      <w:lang w:eastAsia="ja-JP" w:bidi="ar-SY"/>
    </w:rPr>
  </w:style>
  <w:style w:type="character" w:customStyle="1" w:styleId="Heading1Char">
    <w:name w:val="Heading 1 Char"/>
    <w:basedOn w:val="DefaultParagraphFont"/>
    <w:link w:val="Heading1"/>
    <w:rsid w:val="00556CDA"/>
    <w:rPr>
      <w:rFonts w:ascii="Segoe Semibold" w:eastAsia="Segoe UI" w:hAnsi="Segoe Semibold" w:cs="Segoe UI"/>
      <w:b/>
      <w:kern w:val="32"/>
      <w:sz w:val="28"/>
      <w:szCs w:val="28"/>
      <w:lang w:eastAsia="ja-JP" w:bidi="ar-SY"/>
    </w:rPr>
  </w:style>
  <w:style w:type="character" w:customStyle="1" w:styleId="Heading2Char">
    <w:name w:val="Heading 2 Char"/>
    <w:basedOn w:val="DefaultParagraphFont"/>
    <w:link w:val="Heading2"/>
    <w:uiPriority w:val="9"/>
    <w:rsid w:val="00556CDA"/>
    <w:rPr>
      <w:rFonts w:asciiTheme="majorHAnsi" w:eastAsiaTheme="majorEastAsia" w:hAnsiTheme="majorHAnsi" w:cstheme="majorBidi"/>
      <w:b/>
      <w:bCs/>
      <w:sz w:val="24"/>
      <w:szCs w:val="26"/>
      <w:lang w:eastAsia="ja-JP"/>
    </w:rPr>
  </w:style>
  <w:style w:type="character" w:customStyle="1" w:styleId="Heading3Char">
    <w:name w:val="Heading 3 Char"/>
    <w:basedOn w:val="DefaultParagraphFont"/>
    <w:link w:val="Heading3"/>
    <w:rsid w:val="00556CDA"/>
    <w:rPr>
      <w:rFonts w:ascii="Segoe UI" w:eastAsia="Segoe UI" w:hAnsi="Segoe UI" w:cs="Segoe UI"/>
      <w:b/>
      <w:szCs w:val="28"/>
      <w:lang w:eastAsia="ja-JP" w:bidi="ar-SY"/>
    </w:rPr>
  </w:style>
  <w:style w:type="character" w:customStyle="1" w:styleId="Heading4Char">
    <w:name w:val="Heading 4 Char"/>
    <w:basedOn w:val="DefaultParagraphFont"/>
    <w:link w:val="Heading4"/>
    <w:rsid w:val="00556CDA"/>
    <w:rPr>
      <w:rFonts w:ascii="Cambria" w:eastAsia="Segoe UI" w:hAnsi="Cambria" w:cs="Segoe UI"/>
      <w:b/>
      <w:i/>
      <w:color w:val="4F81BD"/>
      <w:sz w:val="22"/>
      <w:szCs w:val="22"/>
      <w:lang w:bidi="ar-SY"/>
    </w:rPr>
  </w:style>
  <w:style w:type="character" w:customStyle="1" w:styleId="Heading5Char">
    <w:name w:val="Heading 5 Char"/>
    <w:basedOn w:val="DefaultParagraphFont"/>
    <w:link w:val="Heading5"/>
    <w:rsid w:val="00556CDA"/>
    <w:rPr>
      <w:rFonts w:ascii="Cambria" w:eastAsia="Segoe UI" w:hAnsi="Cambria" w:cs="Segoe UI"/>
      <w:color w:val="243F60"/>
      <w:sz w:val="22"/>
      <w:szCs w:val="22"/>
      <w:lang w:bidi="ar-SY"/>
    </w:rPr>
  </w:style>
  <w:style w:type="character" w:customStyle="1" w:styleId="FooterChar">
    <w:name w:val="Footer Char"/>
    <w:basedOn w:val="DefaultParagraphFont"/>
    <w:link w:val="Footer"/>
    <w:rsid w:val="00556CDA"/>
    <w:rPr>
      <w:rFonts w:ascii="Segoe UI" w:eastAsia="Segoe UI" w:hAnsi="Segoe UI" w:cs="Segoe UI"/>
      <w:sz w:val="18"/>
      <w:szCs w:val="18"/>
      <w:lang w:eastAsia="ja-JP" w:bidi="ar-SY"/>
    </w:rPr>
  </w:style>
  <w:style w:type="character" w:styleId="EndnoteReference">
    <w:name w:val="endnote reference"/>
    <w:basedOn w:val="DefaultParagraphFont"/>
    <w:rsid w:val="00556CDA"/>
    <w:rPr>
      <w:vertAlign w:val="superscript"/>
    </w:rPr>
  </w:style>
  <w:style w:type="paragraph" w:styleId="EndnoteText">
    <w:name w:val="endnote text"/>
    <w:basedOn w:val="Normal"/>
    <w:link w:val="EndnoteTextChar"/>
    <w:rsid w:val="00556CDA"/>
  </w:style>
  <w:style w:type="character" w:customStyle="1" w:styleId="EndnoteTextChar">
    <w:name w:val="Endnote Text Char"/>
    <w:basedOn w:val="DefaultParagraphFont"/>
    <w:link w:val="EndnoteText"/>
    <w:rsid w:val="00556CDA"/>
    <w:rPr>
      <w:rFonts w:ascii="Segoe UI" w:eastAsia="Segoe UI" w:hAnsi="Segoe UI" w:cs="Segoe UI"/>
      <w:sz w:val="18"/>
      <w:szCs w:val="18"/>
      <w:lang w:eastAsia="ja-JP" w:bidi="ar-SY"/>
    </w:rPr>
  </w:style>
  <w:style w:type="paragraph" w:styleId="Subtitle">
    <w:name w:val="Subtitle"/>
    <w:basedOn w:val="Heading2"/>
    <w:next w:val="Normal"/>
    <w:link w:val="SubtitleChar"/>
    <w:qFormat/>
    <w:rsid w:val="00556CDA"/>
    <w:pPr>
      <w:spacing w:after="200"/>
      <w:jc w:val="center"/>
      <w:outlineLvl w:val="9"/>
    </w:pPr>
    <w:rPr>
      <w:rFonts w:ascii="Segoe Light" w:hAnsi="Segoe Light"/>
      <w:color w:val="4BACC6" w:themeColor="accent5"/>
      <w:sz w:val="44"/>
      <w:lang w:eastAsia="en-US"/>
    </w:rPr>
  </w:style>
  <w:style w:type="character" w:customStyle="1" w:styleId="SubtitleChar">
    <w:name w:val="Subtitle Char"/>
    <w:basedOn w:val="DefaultParagraphFont"/>
    <w:link w:val="Subtitle"/>
    <w:rsid w:val="00556CDA"/>
    <w:rPr>
      <w:rFonts w:ascii="Segoe Light" w:eastAsiaTheme="majorEastAsia" w:hAnsi="Segoe Light" w:cstheme="majorBidi"/>
      <w:b/>
      <w:bCs/>
      <w:color w:val="4BACC6" w:themeColor="accent5"/>
      <w:sz w:val="44"/>
      <w:szCs w:val="26"/>
    </w:rPr>
  </w:style>
  <w:style w:type="character" w:customStyle="1" w:styleId="BalloonTextChar">
    <w:name w:val="Balloon Text Char"/>
    <w:basedOn w:val="DefaultParagraphFont"/>
    <w:link w:val="BalloonText"/>
    <w:semiHidden/>
    <w:rsid w:val="00556CDA"/>
    <w:rPr>
      <w:rFonts w:ascii="Tahoma" w:eastAsia="Segoe UI" w:hAnsi="Tahoma" w:cs="Segoe UI"/>
      <w:sz w:val="16"/>
      <w:szCs w:val="16"/>
      <w:lang w:eastAsia="ja-JP" w:bidi="ar-SY"/>
    </w:rPr>
  </w:style>
  <w:style w:type="paragraph" w:customStyle="1" w:styleId="Subhead">
    <w:name w:val="Subhead"/>
    <w:basedOn w:val="Normal"/>
    <w:rsid w:val="00556CDA"/>
    <w:pPr>
      <w:keepNext/>
      <w:spacing w:before="240"/>
    </w:pPr>
    <w:rPr>
      <w:b/>
    </w:rPr>
  </w:style>
</w:styles>
</file>

<file path=word/webSettings.xml><?xml version="1.0" encoding="utf-8"?>
<w:webSettings xmlns:r="http://schemas.openxmlformats.org/officeDocument/2006/relationships" xmlns:w="http://schemas.openxmlformats.org/wordprocessingml/2006/main">
  <w:divs>
    <w:div w:id="129710286">
      <w:bodyDiv w:val="1"/>
      <w:marLeft w:val="0"/>
      <w:marRight w:val="0"/>
      <w:marTop w:val="0"/>
      <w:marBottom w:val="0"/>
      <w:divBdr>
        <w:top w:val="none" w:sz="0" w:space="0" w:color="auto"/>
        <w:left w:val="none" w:sz="0" w:space="0" w:color="auto"/>
        <w:bottom w:val="none" w:sz="0" w:space="0" w:color="auto"/>
        <w:right w:val="none" w:sz="0" w:space="0" w:color="auto"/>
      </w:divBdr>
    </w:div>
    <w:div w:id="468867500">
      <w:bodyDiv w:val="1"/>
      <w:marLeft w:val="0"/>
      <w:marRight w:val="0"/>
      <w:marTop w:val="0"/>
      <w:marBottom w:val="0"/>
      <w:divBdr>
        <w:top w:val="none" w:sz="0" w:space="0" w:color="auto"/>
        <w:left w:val="none" w:sz="0" w:space="0" w:color="auto"/>
        <w:bottom w:val="none" w:sz="0" w:space="0" w:color="auto"/>
        <w:right w:val="none" w:sz="0" w:space="0" w:color="auto"/>
      </w:divBdr>
      <w:divsChild>
        <w:div w:id="1939749071">
          <w:marLeft w:val="547"/>
          <w:marRight w:val="0"/>
          <w:marTop w:val="115"/>
          <w:marBottom w:val="0"/>
          <w:divBdr>
            <w:top w:val="none" w:sz="0" w:space="0" w:color="auto"/>
            <w:left w:val="none" w:sz="0" w:space="0" w:color="auto"/>
            <w:bottom w:val="none" w:sz="0" w:space="0" w:color="auto"/>
            <w:right w:val="none" w:sz="0" w:space="0" w:color="auto"/>
          </w:divBdr>
        </w:div>
        <w:div w:id="1764449035">
          <w:marLeft w:val="547"/>
          <w:marRight w:val="0"/>
          <w:marTop w:val="115"/>
          <w:marBottom w:val="0"/>
          <w:divBdr>
            <w:top w:val="none" w:sz="0" w:space="0" w:color="auto"/>
            <w:left w:val="none" w:sz="0" w:space="0" w:color="auto"/>
            <w:bottom w:val="none" w:sz="0" w:space="0" w:color="auto"/>
            <w:right w:val="none" w:sz="0" w:space="0" w:color="auto"/>
          </w:divBdr>
        </w:div>
        <w:div w:id="1548490637">
          <w:marLeft w:val="547"/>
          <w:marRight w:val="0"/>
          <w:marTop w:val="115"/>
          <w:marBottom w:val="0"/>
          <w:divBdr>
            <w:top w:val="none" w:sz="0" w:space="0" w:color="auto"/>
            <w:left w:val="none" w:sz="0" w:space="0" w:color="auto"/>
            <w:bottom w:val="none" w:sz="0" w:space="0" w:color="auto"/>
            <w:right w:val="none" w:sz="0" w:space="0" w:color="auto"/>
          </w:divBdr>
        </w:div>
      </w:divsChild>
    </w:div>
    <w:div w:id="818349625">
      <w:bodyDiv w:val="1"/>
      <w:marLeft w:val="0"/>
      <w:marRight w:val="0"/>
      <w:marTop w:val="0"/>
      <w:marBottom w:val="0"/>
      <w:divBdr>
        <w:top w:val="none" w:sz="0" w:space="0" w:color="auto"/>
        <w:left w:val="none" w:sz="0" w:space="0" w:color="auto"/>
        <w:bottom w:val="none" w:sz="0" w:space="0" w:color="auto"/>
        <w:right w:val="none" w:sz="0" w:space="0" w:color="auto"/>
      </w:divBdr>
    </w:div>
    <w:div w:id="829056605">
      <w:bodyDiv w:val="1"/>
      <w:marLeft w:val="0"/>
      <w:marRight w:val="0"/>
      <w:marTop w:val="0"/>
      <w:marBottom w:val="0"/>
      <w:divBdr>
        <w:top w:val="none" w:sz="0" w:space="0" w:color="auto"/>
        <w:left w:val="none" w:sz="0" w:space="0" w:color="auto"/>
        <w:bottom w:val="none" w:sz="0" w:space="0" w:color="auto"/>
        <w:right w:val="none" w:sz="0" w:space="0" w:color="auto"/>
      </w:divBdr>
      <w:divsChild>
        <w:div w:id="1305231967">
          <w:marLeft w:val="547"/>
          <w:marRight w:val="0"/>
          <w:marTop w:val="115"/>
          <w:marBottom w:val="0"/>
          <w:divBdr>
            <w:top w:val="none" w:sz="0" w:space="0" w:color="auto"/>
            <w:left w:val="none" w:sz="0" w:space="0" w:color="auto"/>
            <w:bottom w:val="none" w:sz="0" w:space="0" w:color="auto"/>
            <w:right w:val="none" w:sz="0" w:space="0" w:color="auto"/>
          </w:divBdr>
        </w:div>
        <w:div w:id="1436485164">
          <w:marLeft w:val="547"/>
          <w:marRight w:val="0"/>
          <w:marTop w:val="115"/>
          <w:marBottom w:val="0"/>
          <w:divBdr>
            <w:top w:val="none" w:sz="0" w:space="0" w:color="auto"/>
            <w:left w:val="none" w:sz="0" w:space="0" w:color="auto"/>
            <w:bottom w:val="none" w:sz="0" w:space="0" w:color="auto"/>
            <w:right w:val="none" w:sz="0" w:space="0" w:color="auto"/>
          </w:divBdr>
        </w:div>
        <w:div w:id="1053967009">
          <w:marLeft w:val="547"/>
          <w:marRight w:val="0"/>
          <w:marTop w:val="115"/>
          <w:marBottom w:val="0"/>
          <w:divBdr>
            <w:top w:val="none" w:sz="0" w:space="0" w:color="auto"/>
            <w:left w:val="none" w:sz="0" w:space="0" w:color="auto"/>
            <w:bottom w:val="none" w:sz="0" w:space="0" w:color="auto"/>
            <w:right w:val="none" w:sz="0" w:space="0" w:color="auto"/>
          </w:divBdr>
        </w:div>
        <w:div w:id="736171108">
          <w:marLeft w:val="547"/>
          <w:marRight w:val="0"/>
          <w:marTop w:val="115"/>
          <w:marBottom w:val="0"/>
          <w:divBdr>
            <w:top w:val="none" w:sz="0" w:space="0" w:color="auto"/>
            <w:left w:val="none" w:sz="0" w:space="0" w:color="auto"/>
            <w:bottom w:val="none" w:sz="0" w:space="0" w:color="auto"/>
            <w:right w:val="none" w:sz="0" w:space="0" w:color="auto"/>
          </w:divBdr>
        </w:div>
        <w:div w:id="1013452949">
          <w:marLeft w:val="547"/>
          <w:marRight w:val="0"/>
          <w:marTop w:val="115"/>
          <w:marBottom w:val="0"/>
          <w:divBdr>
            <w:top w:val="none" w:sz="0" w:space="0" w:color="auto"/>
            <w:left w:val="none" w:sz="0" w:space="0" w:color="auto"/>
            <w:bottom w:val="none" w:sz="0" w:space="0" w:color="auto"/>
            <w:right w:val="none" w:sz="0" w:space="0" w:color="auto"/>
          </w:divBdr>
        </w:div>
      </w:divsChild>
    </w:div>
    <w:div w:id="898904283">
      <w:bodyDiv w:val="1"/>
      <w:marLeft w:val="0"/>
      <w:marRight w:val="0"/>
      <w:marTop w:val="0"/>
      <w:marBottom w:val="0"/>
      <w:divBdr>
        <w:top w:val="none" w:sz="0" w:space="0" w:color="auto"/>
        <w:left w:val="none" w:sz="0" w:space="0" w:color="auto"/>
        <w:bottom w:val="none" w:sz="0" w:space="0" w:color="auto"/>
        <w:right w:val="none" w:sz="0" w:space="0" w:color="auto"/>
      </w:divBdr>
      <w:divsChild>
        <w:div w:id="49884012">
          <w:marLeft w:val="547"/>
          <w:marRight w:val="0"/>
          <w:marTop w:val="115"/>
          <w:marBottom w:val="0"/>
          <w:divBdr>
            <w:top w:val="none" w:sz="0" w:space="0" w:color="auto"/>
            <w:left w:val="none" w:sz="0" w:space="0" w:color="auto"/>
            <w:bottom w:val="none" w:sz="0" w:space="0" w:color="auto"/>
            <w:right w:val="none" w:sz="0" w:space="0" w:color="auto"/>
          </w:divBdr>
        </w:div>
        <w:div w:id="1815637549">
          <w:marLeft w:val="1166"/>
          <w:marRight w:val="0"/>
          <w:marTop w:val="115"/>
          <w:marBottom w:val="0"/>
          <w:divBdr>
            <w:top w:val="none" w:sz="0" w:space="0" w:color="auto"/>
            <w:left w:val="none" w:sz="0" w:space="0" w:color="auto"/>
            <w:bottom w:val="none" w:sz="0" w:space="0" w:color="auto"/>
            <w:right w:val="none" w:sz="0" w:space="0" w:color="auto"/>
          </w:divBdr>
        </w:div>
        <w:div w:id="1860047958">
          <w:marLeft w:val="1166"/>
          <w:marRight w:val="0"/>
          <w:marTop w:val="115"/>
          <w:marBottom w:val="0"/>
          <w:divBdr>
            <w:top w:val="none" w:sz="0" w:space="0" w:color="auto"/>
            <w:left w:val="none" w:sz="0" w:space="0" w:color="auto"/>
            <w:bottom w:val="none" w:sz="0" w:space="0" w:color="auto"/>
            <w:right w:val="none" w:sz="0" w:space="0" w:color="auto"/>
          </w:divBdr>
        </w:div>
        <w:div w:id="904219984">
          <w:marLeft w:val="1166"/>
          <w:marRight w:val="0"/>
          <w:marTop w:val="115"/>
          <w:marBottom w:val="0"/>
          <w:divBdr>
            <w:top w:val="none" w:sz="0" w:space="0" w:color="auto"/>
            <w:left w:val="none" w:sz="0" w:space="0" w:color="auto"/>
            <w:bottom w:val="none" w:sz="0" w:space="0" w:color="auto"/>
            <w:right w:val="none" w:sz="0" w:space="0" w:color="auto"/>
          </w:divBdr>
        </w:div>
        <w:div w:id="273708449">
          <w:marLeft w:val="1166"/>
          <w:marRight w:val="0"/>
          <w:marTop w:val="115"/>
          <w:marBottom w:val="0"/>
          <w:divBdr>
            <w:top w:val="none" w:sz="0" w:space="0" w:color="auto"/>
            <w:left w:val="none" w:sz="0" w:space="0" w:color="auto"/>
            <w:bottom w:val="none" w:sz="0" w:space="0" w:color="auto"/>
            <w:right w:val="none" w:sz="0" w:space="0" w:color="auto"/>
          </w:divBdr>
        </w:div>
        <w:div w:id="1069578620">
          <w:marLeft w:val="1166"/>
          <w:marRight w:val="0"/>
          <w:marTop w:val="115"/>
          <w:marBottom w:val="0"/>
          <w:divBdr>
            <w:top w:val="none" w:sz="0" w:space="0" w:color="auto"/>
            <w:left w:val="none" w:sz="0" w:space="0" w:color="auto"/>
            <w:bottom w:val="none" w:sz="0" w:space="0" w:color="auto"/>
            <w:right w:val="none" w:sz="0" w:space="0" w:color="auto"/>
          </w:divBdr>
        </w:div>
      </w:divsChild>
    </w:div>
    <w:div w:id="930430733">
      <w:bodyDiv w:val="1"/>
      <w:marLeft w:val="0"/>
      <w:marRight w:val="0"/>
      <w:marTop w:val="0"/>
      <w:marBottom w:val="0"/>
      <w:divBdr>
        <w:top w:val="none" w:sz="0" w:space="0" w:color="auto"/>
        <w:left w:val="none" w:sz="0" w:space="0" w:color="auto"/>
        <w:bottom w:val="none" w:sz="0" w:space="0" w:color="auto"/>
        <w:right w:val="none" w:sz="0" w:space="0" w:color="auto"/>
      </w:divBdr>
      <w:divsChild>
        <w:div w:id="1721972753">
          <w:marLeft w:val="547"/>
          <w:marRight w:val="0"/>
          <w:marTop w:val="115"/>
          <w:marBottom w:val="0"/>
          <w:divBdr>
            <w:top w:val="none" w:sz="0" w:space="0" w:color="auto"/>
            <w:left w:val="none" w:sz="0" w:space="0" w:color="auto"/>
            <w:bottom w:val="none" w:sz="0" w:space="0" w:color="auto"/>
            <w:right w:val="none" w:sz="0" w:space="0" w:color="auto"/>
          </w:divBdr>
        </w:div>
        <w:div w:id="2043943632">
          <w:marLeft w:val="547"/>
          <w:marRight w:val="0"/>
          <w:marTop w:val="115"/>
          <w:marBottom w:val="0"/>
          <w:divBdr>
            <w:top w:val="none" w:sz="0" w:space="0" w:color="auto"/>
            <w:left w:val="none" w:sz="0" w:space="0" w:color="auto"/>
            <w:bottom w:val="none" w:sz="0" w:space="0" w:color="auto"/>
            <w:right w:val="none" w:sz="0" w:space="0" w:color="auto"/>
          </w:divBdr>
        </w:div>
        <w:div w:id="580065184">
          <w:marLeft w:val="547"/>
          <w:marRight w:val="0"/>
          <w:marTop w:val="115"/>
          <w:marBottom w:val="0"/>
          <w:divBdr>
            <w:top w:val="none" w:sz="0" w:space="0" w:color="auto"/>
            <w:left w:val="none" w:sz="0" w:space="0" w:color="auto"/>
            <w:bottom w:val="none" w:sz="0" w:space="0" w:color="auto"/>
            <w:right w:val="none" w:sz="0" w:space="0" w:color="auto"/>
          </w:divBdr>
        </w:div>
        <w:div w:id="1692755334">
          <w:marLeft w:val="547"/>
          <w:marRight w:val="0"/>
          <w:marTop w:val="115"/>
          <w:marBottom w:val="0"/>
          <w:divBdr>
            <w:top w:val="none" w:sz="0" w:space="0" w:color="auto"/>
            <w:left w:val="none" w:sz="0" w:space="0" w:color="auto"/>
            <w:bottom w:val="none" w:sz="0" w:space="0" w:color="auto"/>
            <w:right w:val="none" w:sz="0" w:space="0" w:color="auto"/>
          </w:divBdr>
        </w:div>
        <w:div w:id="2015375361">
          <w:marLeft w:val="547"/>
          <w:marRight w:val="0"/>
          <w:marTop w:val="115"/>
          <w:marBottom w:val="0"/>
          <w:divBdr>
            <w:top w:val="none" w:sz="0" w:space="0" w:color="auto"/>
            <w:left w:val="none" w:sz="0" w:space="0" w:color="auto"/>
            <w:bottom w:val="none" w:sz="0" w:space="0" w:color="auto"/>
            <w:right w:val="none" w:sz="0" w:space="0" w:color="auto"/>
          </w:divBdr>
        </w:div>
      </w:divsChild>
    </w:div>
    <w:div w:id="1028337892">
      <w:bodyDiv w:val="1"/>
      <w:marLeft w:val="0"/>
      <w:marRight w:val="0"/>
      <w:marTop w:val="0"/>
      <w:marBottom w:val="0"/>
      <w:divBdr>
        <w:top w:val="none" w:sz="0" w:space="0" w:color="auto"/>
        <w:left w:val="none" w:sz="0" w:space="0" w:color="auto"/>
        <w:bottom w:val="none" w:sz="0" w:space="0" w:color="auto"/>
        <w:right w:val="none" w:sz="0" w:space="0" w:color="auto"/>
      </w:divBdr>
      <w:divsChild>
        <w:div w:id="670567129">
          <w:marLeft w:val="547"/>
          <w:marRight w:val="0"/>
          <w:marTop w:val="154"/>
          <w:marBottom w:val="0"/>
          <w:divBdr>
            <w:top w:val="none" w:sz="0" w:space="0" w:color="auto"/>
            <w:left w:val="none" w:sz="0" w:space="0" w:color="auto"/>
            <w:bottom w:val="none" w:sz="0" w:space="0" w:color="auto"/>
            <w:right w:val="none" w:sz="0" w:space="0" w:color="auto"/>
          </w:divBdr>
        </w:div>
        <w:div w:id="862785286">
          <w:marLeft w:val="1166"/>
          <w:marRight w:val="0"/>
          <w:marTop w:val="115"/>
          <w:marBottom w:val="0"/>
          <w:divBdr>
            <w:top w:val="none" w:sz="0" w:space="0" w:color="auto"/>
            <w:left w:val="none" w:sz="0" w:space="0" w:color="auto"/>
            <w:bottom w:val="none" w:sz="0" w:space="0" w:color="auto"/>
            <w:right w:val="none" w:sz="0" w:space="0" w:color="auto"/>
          </w:divBdr>
        </w:div>
        <w:div w:id="1528372828">
          <w:marLeft w:val="547"/>
          <w:marRight w:val="0"/>
          <w:marTop w:val="154"/>
          <w:marBottom w:val="0"/>
          <w:divBdr>
            <w:top w:val="none" w:sz="0" w:space="0" w:color="auto"/>
            <w:left w:val="none" w:sz="0" w:space="0" w:color="auto"/>
            <w:bottom w:val="none" w:sz="0" w:space="0" w:color="auto"/>
            <w:right w:val="none" w:sz="0" w:space="0" w:color="auto"/>
          </w:divBdr>
        </w:div>
        <w:div w:id="1183130280">
          <w:marLeft w:val="1166"/>
          <w:marRight w:val="0"/>
          <w:marTop w:val="115"/>
          <w:marBottom w:val="0"/>
          <w:divBdr>
            <w:top w:val="none" w:sz="0" w:space="0" w:color="auto"/>
            <w:left w:val="none" w:sz="0" w:space="0" w:color="auto"/>
            <w:bottom w:val="none" w:sz="0" w:space="0" w:color="auto"/>
            <w:right w:val="none" w:sz="0" w:space="0" w:color="auto"/>
          </w:divBdr>
        </w:div>
        <w:div w:id="409280188">
          <w:marLeft w:val="547"/>
          <w:marRight w:val="0"/>
          <w:marTop w:val="154"/>
          <w:marBottom w:val="0"/>
          <w:divBdr>
            <w:top w:val="none" w:sz="0" w:space="0" w:color="auto"/>
            <w:left w:val="none" w:sz="0" w:space="0" w:color="auto"/>
            <w:bottom w:val="none" w:sz="0" w:space="0" w:color="auto"/>
            <w:right w:val="none" w:sz="0" w:space="0" w:color="auto"/>
          </w:divBdr>
        </w:div>
        <w:div w:id="350256789">
          <w:marLeft w:val="1166"/>
          <w:marRight w:val="0"/>
          <w:marTop w:val="115"/>
          <w:marBottom w:val="0"/>
          <w:divBdr>
            <w:top w:val="none" w:sz="0" w:space="0" w:color="auto"/>
            <w:left w:val="none" w:sz="0" w:space="0" w:color="auto"/>
            <w:bottom w:val="none" w:sz="0" w:space="0" w:color="auto"/>
            <w:right w:val="none" w:sz="0" w:space="0" w:color="auto"/>
          </w:divBdr>
        </w:div>
      </w:divsChild>
    </w:div>
    <w:div w:id="1050304032">
      <w:bodyDiv w:val="1"/>
      <w:marLeft w:val="0"/>
      <w:marRight w:val="0"/>
      <w:marTop w:val="0"/>
      <w:marBottom w:val="0"/>
      <w:divBdr>
        <w:top w:val="none" w:sz="0" w:space="0" w:color="auto"/>
        <w:left w:val="none" w:sz="0" w:space="0" w:color="auto"/>
        <w:bottom w:val="none" w:sz="0" w:space="0" w:color="auto"/>
        <w:right w:val="none" w:sz="0" w:space="0" w:color="auto"/>
      </w:divBdr>
      <w:divsChild>
        <w:div w:id="569460554">
          <w:marLeft w:val="547"/>
          <w:marRight w:val="0"/>
          <w:marTop w:val="134"/>
          <w:marBottom w:val="0"/>
          <w:divBdr>
            <w:top w:val="none" w:sz="0" w:space="0" w:color="auto"/>
            <w:left w:val="none" w:sz="0" w:space="0" w:color="auto"/>
            <w:bottom w:val="none" w:sz="0" w:space="0" w:color="auto"/>
            <w:right w:val="none" w:sz="0" w:space="0" w:color="auto"/>
          </w:divBdr>
        </w:div>
        <w:div w:id="2113353753">
          <w:marLeft w:val="547"/>
          <w:marRight w:val="0"/>
          <w:marTop w:val="134"/>
          <w:marBottom w:val="0"/>
          <w:divBdr>
            <w:top w:val="none" w:sz="0" w:space="0" w:color="auto"/>
            <w:left w:val="none" w:sz="0" w:space="0" w:color="auto"/>
            <w:bottom w:val="none" w:sz="0" w:space="0" w:color="auto"/>
            <w:right w:val="none" w:sz="0" w:space="0" w:color="auto"/>
          </w:divBdr>
        </w:div>
        <w:div w:id="1099328703">
          <w:marLeft w:val="547"/>
          <w:marRight w:val="0"/>
          <w:marTop w:val="134"/>
          <w:marBottom w:val="0"/>
          <w:divBdr>
            <w:top w:val="none" w:sz="0" w:space="0" w:color="auto"/>
            <w:left w:val="none" w:sz="0" w:space="0" w:color="auto"/>
            <w:bottom w:val="none" w:sz="0" w:space="0" w:color="auto"/>
            <w:right w:val="none" w:sz="0" w:space="0" w:color="auto"/>
          </w:divBdr>
        </w:div>
        <w:div w:id="1987584968">
          <w:marLeft w:val="547"/>
          <w:marRight w:val="0"/>
          <w:marTop w:val="134"/>
          <w:marBottom w:val="0"/>
          <w:divBdr>
            <w:top w:val="none" w:sz="0" w:space="0" w:color="auto"/>
            <w:left w:val="none" w:sz="0" w:space="0" w:color="auto"/>
            <w:bottom w:val="none" w:sz="0" w:space="0" w:color="auto"/>
            <w:right w:val="none" w:sz="0" w:space="0" w:color="auto"/>
          </w:divBdr>
        </w:div>
      </w:divsChild>
    </w:div>
    <w:div w:id="1053701044">
      <w:bodyDiv w:val="1"/>
      <w:marLeft w:val="0"/>
      <w:marRight w:val="0"/>
      <w:marTop w:val="0"/>
      <w:marBottom w:val="0"/>
      <w:divBdr>
        <w:top w:val="none" w:sz="0" w:space="0" w:color="auto"/>
        <w:left w:val="none" w:sz="0" w:space="0" w:color="auto"/>
        <w:bottom w:val="none" w:sz="0" w:space="0" w:color="auto"/>
        <w:right w:val="none" w:sz="0" w:space="0" w:color="auto"/>
      </w:divBdr>
    </w:div>
    <w:div w:id="1082331227">
      <w:bodyDiv w:val="1"/>
      <w:marLeft w:val="0"/>
      <w:marRight w:val="0"/>
      <w:marTop w:val="0"/>
      <w:marBottom w:val="0"/>
      <w:divBdr>
        <w:top w:val="none" w:sz="0" w:space="0" w:color="auto"/>
        <w:left w:val="none" w:sz="0" w:space="0" w:color="auto"/>
        <w:bottom w:val="none" w:sz="0" w:space="0" w:color="auto"/>
        <w:right w:val="none" w:sz="0" w:space="0" w:color="auto"/>
      </w:divBdr>
      <w:divsChild>
        <w:div w:id="646201040">
          <w:marLeft w:val="0"/>
          <w:marRight w:val="0"/>
          <w:marTop w:val="0"/>
          <w:marBottom w:val="0"/>
          <w:divBdr>
            <w:top w:val="none" w:sz="0" w:space="0" w:color="auto"/>
            <w:left w:val="none" w:sz="0" w:space="0" w:color="auto"/>
            <w:bottom w:val="none" w:sz="0" w:space="0" w:color="auto"/>
            <w:right w:val="none" w:sz="0" w:space="0" w:color="auto"/>
          </w:divBdr>
          <w:divsChild>
            <w:div w:id="1367633595">
              <w:marLeft w:val="0"/>
              <w:marRight w:val="0"/>
              <w:marTop w:val="0"/>
              <w:marBottom w:val="0"/>
              <w:divBdr>
                <w:top w:val="none" w:sz="0" w:space="0" w:color="auto"/>
                <w:left w:val="none" w:sz="0" w:space="0" w:color="auto"/>
                <w:bottom w:val="none" w:sz="0" w:space="0" w:color="auto"/>
                <w:right w:val="none" w:sz="0" w:space="0" w:color="auto"/>
              </w:divBdr>
              <w:divsChild>
                <w:div w:id="745036041">
                  <w:marLeft w:val="0"/>
                  <w:marRight w:val="-162"/>
                  <w:marTop w:val="0"/>
                  <w:marBottom w:val="0"/>
                  <w:divBdr>
                    <w:top w:val="none" w:sz="0" w:space="0" w:color="auto"/>
                    <w:left w:val="none" w:sz="0" w:space="0" w:color="auto"/>
                    <w:bottom w:val="none" w:sz="0" w:space="0" w:color="auto"/>
                    <w:right w:val="none" w:sz="0" w:space="0" w:color="auto"/>
                  </w:divBdr>
                  <w:divsChild>
                    <w:div w:id="537592099">
                      <w:marLeft w:val="217"/>
                      <w:marRight w:val="217"/>
                      <w:marTop w:val="217"/>
                      <w:marBottom w:val="217"/>
                      <w:divBdr>
                        <w:top w:val="none" w:sz="0" w:space="0" w:color="auto"/>
                        <w:left w:val="none" w:sz="0" w:space="0" w:color="auto"/>
                        <w:bottom w:val="none" w:sz="0" w:space="0" w:color="auto"/>
                        <w:right w:val="none" w:sz="0" w:space="0" w:color="auto"/>
                      </w:divBdr>
                      <w:divsChild>
                        <w:div w:id="775951369">
                          <w:marLeft w:val="0"/>
                          <w:marRight w:val="0"/>
                          <w:marTop w:val="0"/>
                          <w:marBottom w:val="0"/>
                          <w:divBdr>
                            <w:top w:val="none" w:sz="0" w:space="0" w:color="auto"/>
                            <w:left w:val="none" w:sz="0" w:space="0" w:color="auto"/>
                            <w:bottom w:val="none" w:sz="0" w:space="0" w:color="auto"/>
                            <w:right w:val="none" w:sz="0" w:space="0" w:color="auto"/>
                          </w:divBdr>
                          <w:divsChild>
                            <w:div w:id="1791165695">
                              <w:marLeft w:val="0"/>
                              <w:marRight w:val="0"/>
                              <w:marTop w:val="0"/>
                              <w:marBottom w:val="0"/>
                              <w:divBdr>
                                <w:top w:val="none" w:sz="0" w:space="0" w:color="auto"/>
                                <w:left w:val="none" w:sz="0" w:space="0" w:color="auto"/>
                                <w:bottom w:val="none" w:sz="0" w:space="0" w:color="auto"/>
                                <w:right w:val="none" w:sz="0" w:space="0" w:color="auto"/>
                              </w:divBdr>
                              <w:divsChild>
                                <w:div w:id="1063875118">
                                  <w:marLeft w:val="0"/>
                                  <w:marRight w:val="0"/>
                                  <w:marTop w:val="0"/>
                                  <w:marBottom w:val="0"/>
                                  <w:divBdr>
                                    <w:top w:val="none" w:sz="0" w:space="0" w:color="auto"/>
                                    <w:left w:val="none" w:sz="0" w:space="0" w:color="auto"/>
                                    <w:bottom w:val="none" w:sz="0" w:space="0" w:color="auto"/>
                                    <w:right w:val="none" w:sz="0" w:space="0" w:color="auto"/>
                                  </w:divBdr>
                                  <w:divsChild>
                                    <w:div w:id="2098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815896">
      <w:bodyDiv w:val="1"/>
      <w:marLeft w:val="0"/>
      <w:marRight w:val="0"/>
      <w:marTop w:val="0"/>
      <w:marBottom w:val="0"/>
      <w:divBdr>
        <w:top w:val="none" w:sz="0" w:space="0" w:color="auto"/>
        <w:left w:val="none" w:sz="0" w:space="0" w:color="auto"/>
        <w:bottom w:val="none" w:sz="0" w:space="0" w:color="auto"/>
        <w:right w:val="none" w:sz="0" w:space="0" w:color="auto"/>
      </w:divBdr>
    </w:div>
    <w:div w:id="1151407408">
      <w:bodyDiv w:val="1"/>
      <w:marLeft w:val="0"/>
      <w:marRight w:val="0"/>
      <w:marTop w:val="0"/>
      <w:marBottom w:val="0"/>
      <w:divBdr>
        <w:top w:val="none" w:sz="0" w:space="0" w:color="auto"/>
        <w:left w:val="none" w:sz="0" w:space="0" w:color="auto"/>
        <w:bottom w:val="none" w:sz="0" w:space="0" w:color="auto"/>
        <w:right w:val="none" w:sz="0" w:space="0" w:color="auto"/>
      </w:divBdr>
    </w:div>
    <w:div w:id="1185053109">
      <w:bodyDiv w:val="1"/>
      <w:marLeft w:val="0"/>
      <w:marRight w:val="0"/>
      <w:marTop w:val="0"/>
      <w:marBottom w:val="0"/>
      <w:divBdr>
        <w:top w:val="none" w:sz="0" w:space="0" w:color="auto"/>
        <w:left w:val="none" w:sz="0" w:space="0" w:color="auto"/>
        <w:bottom w:val="none" w:sz="0" w:space="0" w:color="auto"/>
        <w:right w:val="none" w:sz="0" w:space="0" w:color="auto"/>
      </w:divBdr>
      <w:divsChild>
        <w:div w:id="787624247">
          <w:marLeft w:val="547"/>
          <w:marRight w:val="0"/>
          <w:marTop w:val="115"/>
          <w:marBottom w:val="0"/>
          <w:divBdr>
            <w:top w:val="none" w:sz="0" w:space="0" w:color="auto"/>
            <w:left w:val="none" w:sz="0" w:space="0" w:color="auto"/>
            <w:bottom w:val="none" w:sz="0" w:space="0" w:color="auto"/>
            <w:right w:val="none" w:sz="0" w:space="0" w:color="auto"/>
          </w:divBdr>
        </w:div>
        <w:div w:id="686251065">
          <w:marLeft w:val="547"/>
          <w:marRight w:val="0"/>
          <w:marTop w:val="115"/>
          <w:marBottom w:val="0"/>
          <w:divBdr>
            <w:top w:val="none" w:sz="0" w:space="0" w:color="auto"/>
            <w:left w:val="none" w:sz="0" w:space="0" w:color="auto"/>
            <w:bottom w:val="none" w:sz="0" w:space="0" w:color="auto"/>
            <w:right w:val="none" w:sz="0" w:space="0" w:color="auto"/>
          </w:divBdr>
        </w:div>
        <w:div w:id="639072828">
          <w:marLeft w:val="547"/>
          <w:marRight w:val="0"/>
          <w:marTop w:val="115"/>
          <w:marBottom w:val="0"/>
          <w:divBdr>
            <w:top w:val="none" w:sz="0" w:space="0" w:color="auto"/>
            <w:left w:val="none" w:sz="0" w:space="0" w:color="auto"/>
            <w:bottom w:val="none" w:sz="0" w:space="0" w:color="auto"/>
            <w:right w:val="none" w:sz="0" w:space="0" w:color="auto"/>
          </w:divBdr>
        </w:div>
        <w:div w:id="237327183">
          <w:marLeft w:val="547"/>
          <w:marRight w:val="0"/>
          <w:marTop w:val="115"/>
          <w:marBottom w:val="0"/>
          <w:divBdr>
            <w:top w:val="none" w:sz="0" w:space="0" w:color="auto"/>
            <w:left w:val="none" w:sz="0" w:space="0" w:color="auto"/>
            <w:bottom w:val="none" w:sz="0" w:space="0" w:color="auto"/>
            <w:right w:val="none" w:sz="0" w:space="0" w:color="auto"/>
          </w:divBdr>
        </w:div>
        <w:div w:id="249849383">
          <w:marLeft w:val="547"/>
          <w:marRight w:val="0"/>
          <w:marTop w:val="115"/>
          <w:marBottom w:val="0"/>
          <w:divBdr>
            <w:top w:val="none" w:sz="0" w:space="0" w:color="auto"/>
            <w:left w:val="none" w:sz="0" w:space="0" w:color="auto"/>
            <w:bottom w:val="none" w:sz="0" w:space="0" w:color="auto"/>
            <w:right w:val="none" w:sz="0" w:space="0" w:color="auto"/>
          </w:divBdr>
        </w:div>
        <w:div w:id="2127850785">
          <w:marLeft w:val="547"/>
          <w:marRight w:val="0"/>
          <w:marTop w:val="115"/>
          <w:marBottom w:val="0"/>
          <w:divBdr>
            <w:top w:val="none" w:sz="0" w:space="0" w:color="auto"/>
            <w:left w:val="none" w:sz="0" w:space="0" w:color="auto"/>
            <w:bottom w:val="none" w:sz="0" w:space="0" w:color="auto"/>
            <w:right w:val="none" w:sz="0" w:space="0" w:color="auto"/>
          </w:divBdr>
        </w:div>
      </w:divsChild>
    </w:div>
    <w:div w:id="1219167333">
      <w:bodyDiv w:val="1"/>
      <w:marLeft w:val="0"/>
      <w:marRight w:val="0"/>
      <w:marTop w:val="0"/>
      <w:marBottom w:val="0"/>
      <w:divBdr>
        <w:top w:val="none" w:sz="0" w:space="0" w:color="auto"/>
        <w:left w:val="none" w:sz="0" w:space="0" w:color="auto"/>
        <w:bottom w:val="none" w:sz="0" w:space="0" w:color="auto"/>
        <w:right w:val="none" w:sz="0" w:space="0" w:color="auto"/>
      </w:divBdr>
      <w:divsChild>
        <w:div w:id="32077470">
          <w:marLeft w:val="547"/>
          <w:marRight w:val="0"/>
          <w:marTop w:val="115"/>
          <w:marBottom w:val="0"/>
          <w:divBdr>
            <w:top w:val="none" w:sz="0" w:space="0" w:color="auto"/>
            <w:left w:val="none" w:sz="0" w:space="0" w:color="auto"/>
            <w:bottom w:val="none" w:sz="0" w:space="0" w:color="auto"/>
            <w:right w:val="none" w:sz="0" w:space="0" w:color="auto"/>
          </w:divBdr>
        </w:div>
        <w:div w:id="1092973038">
          <w:marLeft w:val="547"/>
          <w:marRight w:val="0"/>
          <w:marTop w:val="115"/>
          <w:marBottom w:val="0"/>
          <w:divBdr>
            <w:top w:val="none" w:sz="0" w:space="0" w:color="auto"/>
            <w:left w:val="none" w:sz="0" w:space="0" w:color="auto"/>
            <w:bottom w:val="none" w:sz="0" w:space="0" w:color="auto"/>
            <w:right w:val="none" w:sz="0" w:space="0" w:color="auto"/>
          </w:divBdr>
        </w:div>
        <w:div w:id="1809936063">
          <w:marLeft w:val="547"/>
          <w:marRight w:val="0"/>
          <w:marTop w:val="115"/>
          <w:marBottom w:val="0"/>
          <w:divBdr>
            <w:top w:val="none" w:sz="0" w:space="0" w:color="auto"/>
            <w:left w:val="none" w:sz="0" w:space="0" w:color="auto"/>
            <w:bottom w:val="none" w:sz="0" w:space="0" w:color="auto"/>
            <w:right w:val="none" w:sz="0" w:space="0" w:color="auto"/>
          </w:divBdr>
        </w:div>
      </w:divsChild>
    </w:div>
    <w:div w:id="1240483694">
      <w:bodyDiv w:val="1"/>
      <w:marLeft w:val="0"/>
      <w:marRight w:val="0"/>
      <w:marTop w:val="0"/>
      <w:marBottom w:val="0"/>
      <w:divBdr>
        <w:top w:val="none" w:sz="0" w:space="0" w:color="auto"/>
        <w:left w:val="none" w:sz="0" w:space="0" w:color="auto"/>
        <w:bottom w:val="none" w:sz="0" w:space="0" w:color="auto"/>
        <w:right w:val="none" w:sz="0" w:space="0" w:color="auto"/>
      </w:divBdr>
    </w:div>
    <w:div w:id="1246917383">
      <w:bodyDiv w:val="1"/>
      <w:marLeft w:val="0"/>
      <w:marRight w:val="0"/>
      <w:marTop w:val="0"/>
      <w:marBottom w:val="0"/>
      <w:divBdr>
        <w:top w:val="none" w:sz="0" w:space="0" w:color="auto"/>
        <w:left w:val="none" w:sz="0" w:space="0" w:color="auto"/>
        <w:bottom w:val="none" w:sz="0" w:space="0" w:color="auto"/>
        <w:right w:val="none" w:sz="0" w:space="0" w:color="auto"/>
      </w:divBdr>
    </w:div>
    <w:div w:id="1329556301">
      <w:bodyDiv w:val="1"/>
      <w:marLeft w:val="0"/>
      <w:marRight w:val="0"/>
      <w:marTop w:val="0"/>
      <w:marBottom w:val="0"/>
      <w:divBdr>
        <w:top w:val="none" w:sz="0" w:space="0" w:color="auto"/>
        <w:left w:val="none" w:sz="0" w:space="0" w:color="auto"/>
        <w:bottom w:val="none" w:sz="0" w:space="0" w:color="auto"/>
        <w:right w:val="none" w:sz="0" w:space="0" w:color="auto"/>
      </w:divBdr>
      <w:divsChild>
        <w:div w:id="1352682022">
          <w:marLeft w:val="547"/>
          <w:marRight w:val="0"/>
          <w:marTop w:val="134"/>
          <w:marBottom w:val="0"/>
          <w:divBdr>
            <w:top w:val="none" w:sz="0" w:space="0" w:color="auto"/>
            <w:left w:val="none" w:sz="0" w:space="0" w:color="auto"/>
            <w:bottom w:val="none" w:sz="0" w:space="0" w:color="auto"/>
            <w:right w:val="none" w:sz="0" w:space="0" w:color="auto"/>
          </w:divBdr>
        </w:div>
        <w:div w:id="944382615">
          <w:marLeft w:val="547"/>
          <w:marRight w:val="0"/>
          <w:marTop w:val="134"/>
          <w:marBottom w:val="0"/>
          <w:divBdr>
            <w:top w:val="none" w:sz="0" w:space="0" w:color="auto"/>
            <w:left w:val="none" w:sz="0" w:space="0" w:color="auto"/>
            <w:bottom w:val="none" w:sz="0" w:space="0" w:color="auto"/>
            <w:right w:val="none" w:sz="0" w:space="0" w:color="auto"/>
          </w:divBdr>
        </w:div>
        <w:div w:id="270934581">
          <w:marLeft w:val="547"/>
          <w:marRight w:val="0"/>
          <w:marTop w:val="134"/>
          <w:marBottom w:val="0"/>
          <w:divBdr>
            <w:top w:val="none" w:sz="0" w:space="0" w:color="auto"/>
            <w:left w:val="none" w:sz="0" w:space="0" w:color="auto"/>
            <w:bottom w:val="none" w:sz="0" w:space="0" w:color="auto"/>
            <w:right w:val="none" w:sz="0" w:space="0" w:color="auto"/>
          </w:divBdr>
        </w:div>
        <w:div w:id="1628900586">
          <w:marLeft w:val="547"/>
          <w:marRight w:val="0"/>
          <w:marTop w:val="134"/>
          <w:marBottom w:val="0"/>
          <w:divBdr>
            <w:top w:val="none" w:sz="0" w:space="0" w:color="auto"/>
            <w:left w:val="none" w:sz="0" w:space="0" w:color="auto"/>
            <w:bottom w:val="none" w:sz="0" w:space="0" w:color="auto"/>
            <w:right w:val="none" w:sz="0" w:space="0" w:color="auto"/>
          </w:divBdr>
        </w:div>
        <w:div w:id="102649307">
          <w:marLeft w:val="547"/>
          <w:marRight w:val="0"/>
          <w:marTop w:val="134"/>
          <w:marBottom w:val="0"/>
          <w:divBdr>
            <w:top w:val="none" w:sz="0" w:space="0" w:color="auto"/>
            <w:left w:val="none" w:sz="0" w:space="0" w:color="auto"/>
            <w:bottom w:val="none" w:sz="0" w:space="0" w:color="auto"/>
            <w:right w:val="none" w:sz="0" w:space="0" w:color="auto"/>
          </w:divBdr>
        </w:div>
        <w:div w:id="1731607995">
          <w:marLeft w:val="547"/>
          <w:marRight w:val="0"/>
          <w:marTop w:val="134"/>
          <w:marBottom w:val="0"/>
          <w:divBdr>
            <w:top w:val="none" w:sz="0" w:space="0" w:color="auto"/>
            <w:left w:val="none" w:sz="0" w:space="0" w:color="auto"/>
            <w:bottom w:val="none" w:sz="0" w:space="0" w:color="auto"/>
            <w:right w:val="none" w:sz="0" w:space="0" w:color="auto"/>
          </w:divBdr>
        </w:div>
      </w:divsChild>
    </w:div>
    <w:div w:id="1521772684">
      <w:bodyDiv w:val="1"/>
      <w:marLeft w:val="0"/>
      <w:marRight w:val="0"/>
      <w:marTop w:val="0"/>
      <w:marBottom w:val="0"/>
      <w:divBdr>
        <w:top w:val="none" w:sz="0" w:space="0" w:color="auto"/>
        <w:left w:val="none" w:sz="0" w:space="0" w:color="auto"/>
        <w:bottom w:val="none" w:sz="0" w:space="0" w:color="auto"/>
        <w:right w:val="none" w:sz="0" w:space="0" w:color="auto"/>
      </w:divBdr>
    </w:div>
    <w:div w:id="1536041363">
      <w:bodyDiv w:val="1"/>
      <w:marLeft w:val="0"/>
      <w:marRight w:val="0"/>
      <w:marTop w:val="0"/>
      <w:marBottom w:val="0"/>
      <w:divBdr>
        <w:top w:val="none" w:sz="0" w:space="0" w:color="auto"/>
        <w:left w:val="none" w:sz="0" w:space="0" w:color="auto"/>
        <w:bottom w:val="none" w:sz="0" w:space="0" w:color="auto"/>
        <w:right w:val="none" w:sz="0" w:space="0" w:color="auto"/>
      </w:divBdr>
      <w:divsChild>
        <w:div w:id="1015309561">
          <w:marLeft w:val="0"/>
          <w:marRight w:val="0"/>
          <w:marTop w:val="0"/>
          <w:marBottom w:val="0"/>
          <w:divBdr>
            <w:top w:val="none" w:sz="0" w:space="0" w:color="auto"/>
            <w:left w:val="none" w:sz="0" w:space="0" w:color="auto"/>
            <w:bottom w:val="none" w:sz="0" w:space="0" w:color="auto"/>
            <w:right w:val="none" w:sz="0" w:space="0" w:color="auto"/>
          </w:divBdr>
          <w:divsChild>
            <w:div w:id="814487792">
              <w:marLeft w:val="-2928"/>
              <w:marRight w:val="0"/>
              <w:marTop w:val="0"/>
              <w:marBottom w:val="144"/>
              <w:divBdr>
                <w:top w:val="none" w:sz="0" w:space="0" w:color="auto"/>
                <w:left w:val="none" w:sz="0" w:space="0" w:color="auto"/>
                <w:bottom w:val="none" w:sz="0" w:space="0" w:color="auto"/>
                <w:right w:val="none" w:sz="0" w:space="0" w:color="auto"/>
              </w:divBdr>
              <w:divsChild>
                <w:div w:id="1415931048">
                  <w:marLeft w:val="2928"/>
                  <w:marRight w:val="0"/>
                  <w:marTop w:val="720"/>
                  <w:marBottom w:val="0"/>
                  <w:divBdr>
                    <w:top w:val="single" w:sz="6" w:space="0" w:color="AAAAAA"/>
                    <w:left w:val="single" w:sz="6" w:space="0" w:color="AAAAAA"/>
                    <w:bottom w:val="single" w:sz="6" w:space="0" w:color="AAAAAA"/>
                    <w:right w:val="none" w:sz="0" w:space="0" w:color="auto"/>
                  </w:divBdr>
                  <w:divsChild>
                    <w:div w:id="9011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9131">
      <w:marLeft w:val="0"/>
      <w:marRight w:val="0"/>
      <w:marTop w:val="0"/>
      <w:marBottom w:val="0"/>
      <w:divBdr>
        <w:top w:val="none" w:sz="0" w:space="0" w:color="auto"/>
        <w:left w:val="none" w:sz="0" w:space="0" w:color="auto"/>
        <w:bottom w:val="none" w:sz="0" w:space="0" w:color="auto"/>
        <w:right w:val="none" w:sz="0" w:space="0" w:color="auto"/>
      </w:divBdr>
    </w:div>
    <w:div w:id="2018381114">
      <w:bodyDiv w:val="1"/>
      <w:marLeft w:val="0"/>
      <w:marRight w:val="0"/>
      <w:marTop w:val="0"/>
      <w:marBottom w:val="0"/>
      <w:divBdr>
        <w:top w:val="none" w:sz="0" w:space="0" w:color="auto"/>
        <w:left w:val="none" w:sz="0" w:space="0" w:color="auto"/>
        <w:bottom w:val="none" w:sz="0" w:space="0" w:color="auto"/>
        <w:right w:val="none" w:sz="0" w:space="0" w:color="auto"/>
      </w:divBdr>
    </w:div>
    <w:div w:id="2113277653">
      <w:bodyDiv w:val="1"/>
      <w:marLeft w:val="0"/>
      <w:marRight w:val="0"/>
      <w:marTop w:val="0"/>
      <w:marBottom w:val="0"/>
      <w:divBdr>
        <w:top w:val="none" w:sz="0" w:space="0" w:color="auto"/>
        <w:left w:val="none" w:sz="0" w:space="0" w:color="auto"/>
        <w:bottom w:val="none" w:sz="0" w:space="0" w:color="auto"/>
        <w:right w:val="none" w:sz="0" w:space="0" w:color="auto"/>
      </w:divBdr>
      <w:divsChild>
        <w:div w:id="169865542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46F7EC7E95947B67BEC980D487292" ma:contentTypeVersion="0" ma:contentTypeDescription="Create a new document." ma:contentTypeScope="" ma:versionID="5e8459bbc925ded571ac90d9a99ef0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F3C8-870D-4036-A082-01EADAD4ACC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F7D03D3-F802-41B5-80CE-533CFFAEDCA6}">
  <ds:schemaRefs>
    <ds:schemaRef ds:uri="http://schemas.microsoft.com/sharepoint/v3/contenttype/forms"/>
  </ds:schemaRefs>
</ds:datastoreItem>
</file>

<file path=customXml/itemProps3.xml><?xml version="1.0" encoding="utf-8"?>
<ds:datastoreItem xmlns:ds="http://schemas.openxmlformats.org/officeDocument/2006/customXml" ds:itemID="{1A377C4B-182B-4AF1-8F71-6541FBE2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3534CE-B032-4592-B783-A0EAB00B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8849</Characters>
  <Application>Microsoft Office Word</Application>
  <DocSecurity>0</DocSecurity>
  <Lines>73</Lines>
  <Paragraphs>20</Paragraphs>
  <ScaleCrop>false</ScaleCrop>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2009-06-29T23:42:00Z</dcterms:created>
  <dcterms:modified xsi:type="dcterms:W3CDTF">2009-06-30T00:34:00Z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0x01010085D46F7EC7E95947B67BEC980D487292</vt:lpwstr>
  </property>
</Properties>
</file>