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DC" w:rsidRDefault="005402DC" w:rsidP="005402DC">
      <w:pPr>
        <w:pStyle w:val="Figure"/>
      </w:pPr>
      <w:bookmarkStart w:id="0" w:name="_Toc183405599"/>
      <w:bookmarkStart w:id="1" w:name="_Toc183405625"/>
      <w:bookmarkStart w:id="2" w:name="_Toc184628045"/>
      <w:r>
        <w:rPr>
          <w:noProof/>
        </w:rPr>
        <w:drawing>
          <wp:inline distT="0" distB="0" distL="0" distR="0">
            <wp:extent cx="5029200" cy="1685925"/>
            <wp:effectExtent l="19050" t="0" r="0" b="0"/>
            <wp:docPr id="4" name="Picture 3" descr="f:\dsbuildroot\wsitpro\1033\Art\DocCoverLHLogo\DocCoverL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buildroot\wsitpro\1033\Art\DocCoverLHLogo\DocCoverLHLogo.png"/>
                    <pic:cNvPicPr>
                      <a:picLocks noChangeAspect="1" noChangeArrowheads="1"/>
                    </pic:cNvPicPr>
                  </pic:nvPicPr>
                  <pic:blipFill>
                    <a:blip r:embed="rId8"/>
                    <a:srcRect/>
                    <a:stretch>
                      <a:fillRect/>
                    </a:stretch>
                  </pic:blipFill>
                  <pic:spPr bwMode="auto">
                    <a:xfrm>
                      <a:off x="0" y="0"/>
                      <a:ext cx="5029200" cy="1685925"/>
                    </a:xfrm>
                    <a:prstGeom prst="rect">
                      <a:avLst/>
                    </a:prstGeom>
                    <a:noFill/>
                    <a:ln w="9525">
                      <a:noFill/>
                      <a:miter lim="800000"/>
                      <a:headEnd/>
                      <a:tailEnd/>
                    </a:ln>
                  </pic:spPr>
                </pic:pic>
              </a:graphicData>
            </a:graphic>
          </wp:inline>
        </w:drawing>
      </w:r>
    </w:p>
    <w:p w:rsidR="005402DC" w:rsidRDefault="005402DC" w:rsidP="005402DC">
      <w:pPr>
        <w:pStyle w:val="TableSpacing"/>
      </w:pPr>
    </w:p>
    <w:p w:rsidR="005402DC" w:rsidRDefault="005A1C7D" w:rsidP="005402DC">
      <w:pPr>
        <w:pStyle w:val="DSTOC1-0"/>
      </w:pPr>
      <w:r w:rsidRPr="005A1C7D">
        <w:t>Windows Server 2008 Power Savings</w:t>
      </w:r>
    </w:p>
    <w:p w:rsidR="005402DC" w:rsidRDefault="005402DC" w:rsidP="005402DC">
      <w:pPr>
        <w:pStyle w:val="TextIndented"/>
      </w:pPr>
      <w:r>
        <w:t>Microsoft Corporation</w:t>
      </w:r>
    </w:p>
    <w:p w:rsidR="005402DC" w:rsidRDefault="005402DC" w:rsidP="005402DC">
      <w:pPr>
        <w:pStyle w:val="TextIndented"/>
      </w:pPr>
      <w:r>
        <w:t>Published: June 2008</w:t>
      </w:r>
    </w:p>
    <w:p w:rsidR="000D7FEE" w:rsidRDefault="000D7FEE" w:rsidP="005402DC">
      <w:pPr>
        <w:pStyle w:val="DSTOC2-0"/>
      </w:pPr>
    </w:p>
    <w:p w:rsidR="005402DC" w:rsidRDefault="005402DC" w:rsidP="005402DC">
      <w:pPr>
        <w:pStyle w:val="DSTOC2-0"/>
      </w:pPr>
      <w:r>
        <w:t>Abstract</w:t>
      </w:r>
    </w:p>
    <w:p w:rsidR="005402DC" w:rsidRDefault="005402DC" w:rsidP="005402DC">
      <w:r>
        <w:t xml:space="preserve">In Windows Server® 2008, Microsoft is introducing new features and technologies, </w:t>
      </w:r>
      <w:r w:rsidR="0036100A">
        <w:t xml:space="preserve">some of </w:t>
      </w:r>
      <w:r>
        <w:t>which were not available in Windows Server</w:t>
      </w:r>
      <w:r w:rsidR="00C34271">
        <w:t>® 2003</w:t>
      </w:r>
      <w:r>
        <w:t>, that will help to reduce the power consumption of server and client operating systems, minimize environmental byproducts, and increase server efficiency. This document describes some of these features and technologies.</w:t>
      </w:r>
    </w:p>
    <w:p w:rsidR="005402DC" w:rsidRDefault="005402DC" w:rsidP="005402DC">
      <w:pPr>
        <w:pStyle w:val="Figure"/>
      </w:pPr>
      <w:r>
        <w:rPr>
          <w:noProof/>
        </w:rPr>
        <w:drawing>
          <wp:inline distT="0" distB="0" distL="0" distR="0">
            <wp:extent cx="5029200" cy="342900"/>
            <wp:effectExtent l="19050" t="0" r="0" b="0"/>
            <wp:docPr id="3" name="Picture 1" descr="f:\dsbuildroot\wsitpro\1033\Art\DocCoverBottom\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itpro\1033\Art\DocCoverBottom\DocCoverBottom.gif"/>
                    <pic:cNvPicPr>
                      <a:picLocks noChangeAspect="1" noChangeArrowheads="1"/>
                    </pic:cNvPicPr>
                  </pic:nvPicPr>
                  <pic:blipFill>
                    <a:blip r:embed="rId9"/>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5402DC" w:rsidRDefault="005402DC" w:rsidP="005402DC">
      <w:pPr>
        <w:pStyle w:val="TableSpacing"/>
      </w:pPr>
    </w:p>
    <w:p w:rsidR="005402DC" w:rsidRDefault="005402DC" w:rsidP="005402DC">
      <w:pPr>
        <w:pStyle w:val="DSTOC1-0"/>
        <w:sectPr w:rsidR="005402DC" w:rsidSect="005A1C7D">
          <w:headerReference w:type="even" r:id="rId10"/>
          <w:footerReference w:type="even" r:id="rId11"/>
          <w:pgSz w:w="12240" w:h="15840" w:code="1"/>
          <w:pgMar w:top="1440" w:right="1800" w:bottom="1440" w:left="1800" w:header="1440" w:footer="1440" w:gutter="0"/>
          <w:cols w:space="720"/>
          <w:docGrid w:linePitch="272"/>
        </w:sectPr>
      </w:pPr>
    </w:p>
    <w:p w:rsidR="005402DC" w:rsidRDefault="005402DC" w:rsidP="005402DC">
      <w:pPr>
        <w:pStyle w:val="DSTOC1-0"/>
      </w:pPr>
      <w:r>
        <w:lastRenderedPageBreak/>
        <w:t>Copyright Information</w:t>
      </w:r>
    </w:p>
    <w:p w:rsidR="005402DC" w:rsidRDefault="005402DC" w:rsidP="005402DC">
      <w:r>
        <w:t xml:space="preserve">This document supports </w:t>
      </w:r>
      <w:r w:rsidR="005A1C7D" w:rsidRPr="005A1C7D">
        <w:t xml:space="preserve">the </w:t>
      </w:r>
      <w:r w:rsidR="005A1C7D">
        <w:t xml:space="preserve">release of Windows Server® 2008. </w:t>
      </w:r>
      <w:r>
        <w:t xml:space="preserve">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5402DC" w:rsidRDefault="005402DC" w:rsidP="005402DC"/>
    <w:p w:rsidR="005402DC" w:rsidRDefault="005402DC" w:rsidP="005402DC">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p>
    <w:p w:rsidR="005402DC" w:rsidRDefault="005402DC" w:rsidP="005402DC"/>
    <w:p w:rsidR="005402DC" w:rsidRDefault="005402DC" w:rsidP="005402DC">
      <w:r>
        <w:t>© 2008 Microsoft Corporation. All rights reserved.</w:t>
      </w:r>
    </w:p>
    <w:p w:rsidR="005402DC" w:rsidRDefault="005402DC" w:rsidP="005402DC"/>
    <w:p w:rsidR="005402DC" w:rsidRDefault="005402DC" w:rsidP="005402DC">
      <w:r>
        <w:t xml:space="preserve">Microsoft, MS-DOS, Active Directory, ActiveX, Aero, Authenticode, </w:t>
      </w:r>
      <w:proofErr w:type="spellStart"/>
      <w:r>
        <w:t>BitLocker</w:t>
      </w:r>
      <w:proofErr w:type="spellEnd"/>
      <w:r>
        <w:t xml:space="preserve">, BizTalk, </w:t>
      </w:r>
      <w:proofErr w:type="spellStart"/>
      <w:r>
        <w:t>ClearType</w:t>
      </w:r>
      <w:proofErr w:type="spellEnd"/>
      <w:r>
        <w:t>, Internet Explorer, SharePoint, SQL Server, Windows, Windows Media, Windows NT, Windows </w:t>
      </w:r>
      <w:proofErr w:type="spellStart"/>
      <w:r>
        <w:t>PowerShell</w:t>
      </w:r>
      <w:proofErr w:type="spellEnd"/>
      <w:r>
        <w:t>, Windows Server, and Windows Vista are either registered trademarks or trademarks of Microsoft Corporation in the United States and/or other countries.</w:t>
      </w:r>
    </w:p>
    <w:p w:rsidR="005402DC" w:rsidRDefault="005402DC" w:rsidP="005402DC"/>
    <w:p w:rsidR="005402DC" w:rsidRDefault="005402DC" w:rsidP="005402DC">
      <w:r>
        <w:t>All other trademarks are property of their respective owners.</w:t>
      </w:r>
    </w:p>
    <w:p w:rsidR="005402DC" w:rsidRDefault="005402DC">
      <w:pPr>
        <w:spacing w:before="0" w:after="0" w:line="240" w:lineRule="auto"/>
        <w:rPr>
          <w:b/>
          <w:kern w:val="24"/>
          <w:sz w:val="28"/>
        </w:rPr>
      </w:pPr>
      <w:r>
        <w:br w:type="page"/>
      </w:r>
    </w:p>
    <w:p w:rsidR="005402DC" w:rsidRDefault="005402DC" w:rsidP="005402DC">
      <w:pPr>
        <w:pStyle w:val="DSTOC1-0"/>
      </w:pPr>
      <w:r>
        <w:lastRenderedPageBreak/>
        <w:t>Contents</w:t>
      </w:r>
    </w:p>
    <w:p w:rsidR="002F0751" w:rsidRDefault="0023106A">
      <w:pPr>
        <w:pStyle w:val="TOC4"/>
        <w:tabs>
          <w:tab w:val="right" w:pos="9494"/>
        </w:tabs>
        <w:rPr>
          <w:rFonts w:asciiTheme="minorHAnsi" w:eastAsiaTheme="minorEastAsia" w:hAnsiTheme="minorHAnsi" w:cstheme="minorBidi"/>
          <w:noProof/>
          <w:color w:val="auto"/>
          <w:sz w:val="22"/>
          <w:szCs w:val="22"/>
        </w:rPr>
      </w:pPr>
      <w:r w:rsidRPr="000D7FEE">
        <w:rPr>
          <w:color w:val="auto"/>
        </w:rPr>
        <w:fldChar w:fldCharType="begin"/>
      </w:r>
      <w:r w:rsidR="000D7FEE" w:rsidRPr="000D7FEE">
        <w:rPr>
          <w:color w:val="auto"/>
        </w:rPr>
        <w:instrText xml:space="preserve"> TOC \o "1-6" \h \z \u </w:instrText>
      </w:r>
      <w:r w:rsidRPr="000D7FEE">
        <w:rPr>
          <w:color w:val="auto"/>
        </w:rPr>
        <w:fldChar w:fldCharType="separate"/>
      </w:r>
      <w:hyperlink w:anchor="_Toc200357130" w:history="1">
        <w:r w:rsidR="002F0751" w:rsidRPr="00930DE0">
          <w:rPr>
            <w:rStyle w:val="Hyperlink"/>
            <w:noProof/>
          </w:rPr>
          <w:t>Executive Summary</w:t>
        </w:r>
        <w:r w:rsidR="002F0751">
          <w:rPr>
            <w:noProof/>
            <w:webHidden/>
          </w:rPr>
          <w:tab/>
        </w:r>
        <w:r>
          <w:rPr>
            <w:noProof/>
            <w:webHidden/>
          </w:rPr>
          <w:fldChar w:fldCharType="begin"/>
        </w:r>
        <w:r w:rsidR="002F0751">
          <w:rPr>
            <w:noProof/>
            <w:webHidden/>
          </w:rPr>
          <w:instrText xml:space="preserve"> PAGEREF _Toc200357130 \h </w:instrText>
        </w:r>
        <w:r>
          <w:rPr>
            <w:noProof/>
            <w:webHidden/>
          </w:rPr>
        </w:r>
        <w:r>
          <w:rPr>
            <w:noProof/>
            <w:webHidden/>
          </w:rPr>
          <w:fldChar w:fldCharType="separate"/>
        </w:r>
        <w:r w:rsidR="002F0751">
          <w:rPr>
            <w:noProof/>
            <w:webHidden/>
          </w:rPr>
          <w:t>4</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1" w:history="1">
        <w:r w:rsidR="002F0751" w:rsidRPr="00930DE0">
          <w:rPr>
            <w:rStyle w:val="Hyperlink"/>
            <w:noProof/>
          </w:rPr>
          <w:t>The Case for Reducing Power Consumption</w:t>
        </w:r>
        <w:r w:rsidR="002F0751">
          <w:rPr>
            <w:noProof/>
            <w:webHidden/>
          </w:rPr>
          <w:tab/>
        </w:r>
        <w:r>
          <w:rPr>
            <w:noProof/>
            <w:webHidden/>
          </w:rPr>
          <w:fldChar w:fldCharType="begin"/>
        </w:r>
        <w:r w:rsidR="002F0751">
          <w:rPr>
            <w:noProof/>
            <w:webHidden/>
          </w:rPr>
          <w:instrText xml:space="preserve"> PAGEREF _Toc200357131 \h </w:instrText>
        </w:r>
        <w:r>
          <w:rPr>
            <w:noProof/>
            <w:webHidden/>
          </w:rPr>
        </w:r>
        <w:r>
          <w:rPr>
            <w:noProof/>
            <w:webHidden/>
          </w:rPr>
          <w:fldChar w:fldCharType="separate"/>
        </w:r>
        <w:r w:rsidR="002F0751">
          <w:rPr>
            <w:noProof/>
            <w:webHidden/>
          </w:rPr>
          <w:t>4</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2" w:history="1">
        <w:r w:rsidR="002F0751" w:rsidRPr="00930DE0">
          <w:rPr>
            <w:rStyle w:val="Hyperlink"/>
            <w:noProof/>
          </w:rPr>
          <w:t>Out-of-the-Box Power Savings</w:t>
        </w:r>
        <w:r w:rsidR="002F0751">
          <w:rPr>
            <w:noProof/>
            <w:webHidden/>
          </w:rPr>
          <w:tab/>
        </w:r>
        <w:r>
          <w:rPr>
            <w:noProof/>
            <w:webHidden/>
          </w:rPr>
          <w:fldChar w:fldCharType="begin"/>
        </w:r>
        <w:r w:rsidR="002F0751">
          <w:rPr>
            <w:noProof/>
            <w:webHidden/>
          </w:rPr>
          <w:instrText xml:space="preserve"> PAGEREF _Toc200357132 \h </w:instrText>
        </w:r>
        <w:r>
          <w:rPr>
            <w:noProof/>
            <w:webHidden/>
          </w:rPr>
        </w:r>
        <w:r>
          <w:rPr>
            <w:noProof/>
            <w:webHidden/>
          </w:rPr>
          <w:fldChar w:fldCharType="separate"/>
        </w:r>
        <w:r w:rsidR="002F0751">
          <w:rPr>
            <w:noProof/>
            <w:webHidden/>
          </w:rPr>
          <w:t>5</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3" w:history="1">
        <w:r w:rsidR="002F0751" w:rsidRPr="00930DE0">
          <w:rPr>
            <w:rStyle w:val="Hyperlink"/>
            <w:noProof/>
          </w:rPr>
          <w:t>Saving Power through Virtualization</w:t>
        </w:r>
        <w:r w:rsidR="002F0751">
          <w:rPr>
            <w:noProof/>
            <w:webHidden/>
          </w:rPr>
          <w:tab/>
        </w:r>
        <w:r>
          <w:rPr>
            <w:noProof/>
            <w:webHidden/>
          </w:rPr>
          <w:fldChar w:fldCharType="begin"/>
        </w:r>
        <w:r w:rsidR="002F0751">
          <w:rPr>
            <w:noProof/>
            <w:webHidden/>
          </w:rPr>
          <w:instrText xml:space="preserve"> PAGEREF _Toc200357133 \h </w:instrText>
        </w:r>
        <w:r>
          <w:rPr>
            <w:noProof/>
            <w:webHidden/>
          </w:rPr>
        </w:r>
        <w:r>
          <w:rPr>
            <w:noProof/>
            <w:webHidden/>
          </w:rPr>
          <w:fldChar w:fldCharType="separate"/>
        </w:r>
        <w:r w:rsidR="002F0751">
          <w:rPr>
            <w:noProof/>
            <w:webHidden/>
          </w:rPr>
          <w:t>7</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4" w:history="1">
        <w:r w:rsidR="002F0751" w:rsidRPr="00930DE0">
          <w:rPr>
            <w:rStyle w:val="Hyperlink"/>
            <w:noProof/>
          </w:rPr>
          <w:t>Managing Server and Client Power Usage with Group Policy</w:t>
        </w:r>
        <w:r w:rsidR="002F0751">
          <w:rPr>
            <w:noProof/>
            <w:webHidden/>
          </w:rPr>
          <w:tab/>
        </w:r>
        <w:r>
          <w:rPr>
            <w:noProof/>
            <w:webHidden/>
          </w:rPr>
          <w:fldChar w:fldCharType="begin"/>
        </w:r>
        <w:r w:rsidR="002F0751">
          <w:rPr>
            <w:noProof/>
            <w:webHidden/>
          </w:rPr>
          <w:instrText xml:space="preserve"> PAGEREF _Toc200357134 \h </w:instrText>
        </w:r>
        <w:r>
          <w:rPr>
            <w:noProof/>
            <w:webHidden/>
          </w:rPr>
        </w:r>
        <w:r>
          <w:rPr>
            <w:noProof/>
            <w:webHidden/>
          </w:rPr>
          <w:fldChar w:fldCharType="separate"/>
        </w:r>
        <w:r w:rsidR="002F0751">
          <w:rPr>
            <w:noProof/>
            <w:webHidden/>
          </w:rPr>
          <w:t>11</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5" w:history="1">
        <w:r w:rsidR="002F0751" w:rsidRPr="00930DE0">
          <w:rPr>
            <w:rStyle w:val="Hyperlink"/>
            <w:noProof/>
          </w:rPr>
          <w:t>Managing Power Usage on Windows Vista Clients</w:t>
        </w:r>
        <w:r w:rsidR="002F0751">
          <w:rPr>
            <w:noProof/>
            <w:webHidden/>
          </w:rPr>
          <w:tab/>
        </w:r>
        <w:r>
          <w:rPr>
            <w:noProof/>
            <w:webHidden/>
          </w:rPr>
          <w:fldChar w:fldCharType="begin"/>
        </w:r>
        <w:r w:rsidR="002F0751">
          <w:rPr>
            <w:noProof/>
            <w:webHidden/>
          </w:rPr>
          <w:instrText xml:space="preserve"> PAGEREF _Toc200357135 \h </w:instrText>
        </w:r>
        <w:r>
          <w:rPr>
            <w:noProof/>
            <w:webHidden/>
          </w:rPr>
        </w:r>
        <w:r>
          <w:rPr>
            <w:noProof/>
            <w:webHidden/>
          </w:rPr>
          <w:fldChar w:fldCharType="separate"/>
        </w:r>
        <w:r w:rsidR="002F0751">
          <w:rPr>
            <w:noProof/>
            <w:webHidden/>
          </w:rPr>
          <w:t>12</w:t>
        </w:r>
        <w:r>
          <w:rPr>
            <w:noProof/>
            <w:webHidden/>
          </w:rPr>
          <w:fldChar w:fldCharType="end"/>
        </w:r>
      </w:hyperlink>
    </w:p>
    <w:p w:rsidR="002F0751" w:rsidRDefault="0023106A">
      <w:pPr>
        <w:pStyle w:val="TOC4"/>
        <w:tabs>
          <w:tab w:val="right" w:pos="9494"/>
        </w:tabs>
        <w:rPr>
          <w:rFonts w:asciiTheme="minorHAnsi" w:eastAsiaTheme="minorEastAsia" w:hAnsiTheme="minorHAnsi" w:cstheme="minorBidi"/>
          <w:noProof/>
          <w:color w:val="auto"/>
          <w:sz w:val="22"/>
          <w:szCs w:val="22"/>
        </w:rPr>
      </w:pPr>
      <w:hyperlink w:anchor="_Toc200357136" w:history="1">
        <w:r w:rsidR="0036100A">
          <w:rPr>
            <w:rStyle w:val="Hyperlink"/>
            <w:noProof/>
          </w:rPr>
          <w:t>Appendix D</w:t>
        </w:r>
        <w:r w:rsidR="002F0751" w:rsidRPr="00930DE0">
          <w:rPr>
            <w:rStyle w:val="Hyperlink"/>
            <w:noProof/>
          </w:rPr>
          <w:t>ata</w:t>
        </w:r>
        <w:r w:rsidR="002F0751">
          <w:rPr>
            <w:noProof/>
            <w:webHidden/>
          </w:rPr>
          <w:tab/>
        </w:r>
        <w:r>
          <w:rPr>
            <w:noProof/>
            <w:webHidden/>
          </w:rPr>
          <w:fldChar w:fldCharType="begin"/>
        </w:r>
        <w:r w:rsidR="002F0751">
          <w:rPr>
            <w:noProof/>
            <w:webHidden/>
          </w:rPr>
          <w:instrText xml:space="preserve"> PAGEREF _Toc200357136 \h </w:instrText>
        </w:r>
        <w:r>
          <w:rPr>
            <w:noProof/>
            <w:webHidden/>
          </w:rPr>
        </w:r>
        <w:r>
          <w:rPr>
            <w:noProof/>
            <w:webHidden/>
          </w:rPr>
          <w:fldChar w:fldCharType="separate"/>
        </w:r>
        <w:r w:rsidR="002F0751">
          <w:rPr>
            <w:noProof/>
            <w:webHidden/>
          </w:rPr>
          <w:t>14</w:t>
        </w:r>
        <w:r>
          <w:rPr>
            <w:noProof/>
            <w:webHidden/>
          </w:rPr>
          <w:fldChar w:fldCharType="end"/>
        </w:r>
      </w:hyperlink>
    </w:p>
    <w:p w:rsidR="005402DC" w:rsidRDefault="0023106A" w:rsidP="005402DC">
      <w:pPr>
        <w:spacing w:before="0" w:after="0" w:line="240" w:lineRule="auto"/>
        <w:rPr>
          <w:b/>
          <w:kern w:val="24"/>
          <w:sz w:val="28"/>
        </w:rPr>
      </w:pPr>
      <w:r w:rsidRPr="000D7FEE">
        <w:rPr>
          <w:color w:val="auto"/>
        </w:rPr>
        <w:fldChar w:fldCharType="end"/>
      </w:r>
      <w:r w:rsidR="005402DC">
        <w:br w:type="page"/>
      </w:r>
    </w:p>
    <w:p w:rsidR="00E63013" w:rsidRDefault="00E63013" w:rsidP="00E63013">
      <w:pPr>
        <w:pStyle w:val="Heading4"/>
      </w:pPr>
      <w:bookmarkStart w:id="3" w:name="_Toc200357130"/>
      <w:r w:rsidRPr="00F22251">
        <w:lastRenderedPageBreak/>
        <w:t>Executive Summary</w:t>
      </w:r>
      <w:bookmarkEnd w:id="3"/>
    </w:p>
    <w:bookmarkEnd w:id="0"/>
    <w:bookmarkEnd w:id="1"/>
    <w:bookmarkEnd w:id="2"/>
    <w:p w:rsidR="00606466" w:rsidRDefault="00E63013" w:rsidP="00E63013">
      <w:pPr>
        <w:pStyle w:val="Text"/>
      </w:pPr>
      <w:r>
        <w:t xml:space="preserve">Energy-efficient computing is becoming a priority for businesses and organizations seeking to control costs and </w:t>
      </w:r>
      <w:r w:rsidR="00D31807">
        <w:t>reduce their impact on the environment</w:t>
      </w:r>
      <w:r>
        <w:t xml:space="preserve">. One </w:t>
      </w:r>
      <w:r w:rsidR="00FB30D3">
        <w:t xml:space="preserve">way </w:t>
      </w:r>
      <w:r>
        <w:t xml:space="preserve">for an organization to reduce power usage is to implement an energy-efficient server </w:t>
      </w:r>
      <w:r w:rsidR="00D31807">
        <w:t xml:space="preserve">infrastructure </w:t>
      </w:r>
      <w:r>
        <w:t xml:space="preserve">that facilitates management and allocation of power to computing resources as needed. </w:t>
      </w:r>
    </w:p>
    <w:p w:rsidR="00303891" w:rsidRDefault="00E63013">
      <w:pPr>
        <w:pStyle w:val="Text"/>
      </w:pPr>
      <w:r>
        <w:t xml:space="preserve">Microsoft® Windows Server™ </w:t>
      </w:r>
      <w:r w:rsidR="00663E9A">
        <w:t>2008</w:t>
      </w:r>
      <w:r w:rsidR="00606466" w:rsidRPr="00606466">
        <w:t xml:space="preserve"> has been designed with energy efficiency in mind, to provide customers with ready and convenient access to a number of new power-saving features. It includes updated support for Advanced Configuration and Power Interface (ACPI) processor power management (PPM) features, including support for processor performance states (P-states) and processor idle sleep states on multiprocessor systems. These features simplify </w:t>
      </w:r>
      <w:r w:rsidR="00537FA3">
        <w:t xml:space="preserve">power </w:t>
      </w:r>
      <w:r w:rsidR="00606466" w:rsidRPr="00606466">
        <w:t>management in Windows Server 2008 (</w:t>
      </w:r>
      <w:r w:rsidR="005A1C7D">
        <w:t>WS08</w:t>
      </w:r>
      <w:r w:rsidR="00606466" w:rsidRPr="00606466">
        <w:t xml:space="preserve">) and can be managed easily across servers and clients using Group </w:t>
      </w:r>
      <w:r w:rsidR="00537FA3" w:rsidRPr="00606466">
        <w:t>Polic</w:t>
      </w:r>
      <w:r w:rsidR="00537FA3">
        <w:t>ies</w:t>
      </w:r>
      <w:r w:rsidR="00606466" w:rsidRPr="00606466">
        <w:t xml:space="preserve">. Even more significant power savings are made possible by Hyper-V™, the hypervisor-based virtualization </w:t>
      </w:r>
      <w:r w:rsidR="00763D3B">
        <w:t xml:space="preserve">technology </w:t>
      </w:r>
      <w:r w:rsidR="00606466" w:rsidRPr="00606466">
        <w:t xml:space="preserve">included as a </w:t>
      </w:r>
      <w:r w:rsidR="000718CD">
        <w:t xml:space="preserve">server </w:t>
      </w:r>
      <w:r w:rsidR="00606466" w:rsidRPr="00606466">
        <w:t xml:space="preserve">role </w:t>
      </w:r>
      <w:r w:rsidR="000718CD">
        <w:t>in</w:t>
      </w:r>
      <w:r w:rsidR="000718CD" w:rsidRPr="00606466">
        <w:t xml:space="preserve"> </w:t>
      </w:r>
      <w:r w:rsidR="00606466" w:rsidRPr="00606466">
        <w:t xml:space="preserve">Windows Server 2008. </w:t>
      </w:r>
      <w:r w:rsidR="00606466">
        <w:t>Hyper-V makes</w:t>
      </w:r>
      <w:r w:rsidR="00606466" w:rsidRPr="00606466">
        <w:t xml:space="preserve"> it possible to consolidate servers onto a much smaller number of physical machines</w:t>
      </w:r>
      <w:r w:rsidR="00606466">
        <w:t>, significantly reducing power consumption without unduly sacrificing performance</w:t>
      </w:r>
      <w:r w:rsidR="00606466" w:rsidRPr="00606466">
        <w:t>.</w:t>
      </w:r>
    </w:p>
    <w:p w:rsidR="00E63013" w:rsidRDefault="00B85E52" w:rsidP="00E63013">
      <w:pPr>
        <w:pStyle w:val="Heading4"/>
      </w:pPr>
      <w:bookmarkStart w:id="4" w:name="_Toc200357131"/>
      <w:r>
        <w:t>The Case for Reducing Power Consumption</w:t>
      </w:r>
      <w:bookmarkEnd w:id="4"/>
    </w:p>
    <w:p w:rsidR="00E63013" w:rsidRDefault="00090A98" w:rsidP="00E63013">
      <w:pPr>
        <w:pStyle w:val="Text"/>
      </w:pPr>
      <w:r w:rsidRPr="00090A98">
        <w:t>As businesses use more servers, and as the servers themselves become more powerful, the amount of electricity it takes to operate them rises proportionately</w:t>
      </w:r>
      <w:r w:rsidR="00E63013" w:rsidRPr="00D31807">
        <w:t xml:space="preserve">. </w:t>
      </w:r>
      <w:r w:rsidR="00E63013">
        <w:t xml:space="preserve">Faster processors </w:t>
      </w:r>
      <w:r w:rsidR="00D31807">
        <w:t xml:space="preserve">generally </w:t>
      </w:r>
      <w:r w:rsidR="00E63013">
        <w:t xml:space="preserve">draw more power than slower ones, and </w:t>
      </w:r>
      <w:r w:rsidR="000718CD">
        <w:t xml:space="preserve">generate more heat, requiring </w:t>
      </w:r>
      <w:r w:rsidR="00E63013">
        <w:t xml:space="preserve">more powerful cooling systems. A recent study found that the amount of electricity used by servers and auxiliary equipment worldwide more than doubled between 2000 and 2005, to more than 1.2 billion kilowatt-hours (kWh) yearly—a figure that represents 0.8 percent of </w:t>
      </w:r>
      <w:r w:rsidR="00763D3B">
        <w:t xml:space="preserve">the </w:t>
      </w:r>
      <w:r w:rsidR="00E63013">
        <w:t xml:space="preserve">estimated </w:t>
      </w:r>
      <w:r w:rsidR="00663E9A">
        <w:t>world electricity</w:t>
      </w:r>
      <w:r w:rsidR="00E63013">
        <w:t xml:space="preserve"> sales</w:t>
      </w:r>
      <w:r w:rsidR="00E63013">
        <w:rPr>
          <w:rStyle w:val="FootnoteReference"/>
        </w:rPr>
        <w:footnoteReference w:id="2"/>
      </w:r>
      <w:r w:rsidR="00E63013">
        <w:t xml:space="preserve">. </w:t>
      </w:r>
    </w:p>
    <w:p w:rsidR="00E63013" w:rsidRDefault="00E63013" w:rsidP="00E63013">
      <w:pPr>
        <w:pStyle w:val="Text"/>
      </w:pPr>
      <w:r>
        <w:t xml:space="preserve">This increase has come over a period when the cost of electricity itself has risen significantly. The U.S. Department of Energy reports that the average cost of electricity to the industrial sector has increased by more than 41 percent over the </w:t>
      </w:r>
      <w:r w:rsidR="00663E9A">
        <w:t>past seven years (2000</w:t>
      </w:r>
      <w:r w:rsidR="00663E9A">
        <w:noBreakHyphen/>
        <w:t>2007)—double the rate of inflation—and 33 percent for the commercial sector</w:t>
      </w:r>
      <w:r>
        <w:t>.</w:t>
      </w:r>
      <w:r>
        <w:rPr>
          <w:rStyle w:val="FootnoteReference"/>
        </w:rPr>
        <w:footnoteReference w:id="3"/>
      </w:r>
      <w:r>
        <w:t xml:space="preserve"> </w:t>
      </w:r>
      <w:r w:rsidR="00FE1E52">
        <w:t xml:space="preserve">Electricity costs in many other parts of the world have increased by as much or more. </w:t>
      </w:r>
      <w:r w:rsidR="00763D3B">
        <w:t>By t</w:t>
      </w:r>
      <w:r>
        <w:t xml:space="preserve">aking all </w:t>
      </w:r>
      <w:r w:rsidR="00763D3B">
        <w:t xml:space="preserve">of </w:t>
      </w:r>
      <w:r>
        <w:t xml:space="preserve">these factors into account leads to the conclusion that the electricity cost of running servers is an increasingly significant expenditure for many businesses and other organizations, and will continue to grow in the future. </w:t>
      </w:r>
    </w:p>
    <w:p w:rsidR="00E63013" w:rsidRDefault="00E63013" w:rsidP="00E63013">
      <w:pPr>
        <w:pStyle w:val="Text"/>
      </w:pPr>
      <w:r>
        <w:t xml:space="preserve">Aside from the direct cost of electricity, the environmental impact of excessive power usage is a growing concern for governments, businesses, and organizations seeking to reduce the production of greenhouse gases that contribute to global warming. Under international agreements such as the Kyoto Protocol and the Bali Roadmap, as well as local regulations in jurisdictions around the world, businesses and other organizations (collectively referred to as “operators”) are subject to limits on greenhouse gas emissions, which are </w:t>
      </w:r>
      <w:r w:rsidR="005F5884">
        <w:t xml:space="preserve">typically </w:t>
      </w:r>
      <w:r>
        <w:t>managed through carbon credit</w:t>
      </w:r>
      <w:r w:rsidR="005F5884">
        <w:t xml:space="preserve"> programs</w:t>
      </w:r>
      <w:r>
        <w:t xml:space="preserve">. Operators that cut their emissions production can trade unused </w:t>
      </w:r>
      <w:r w:rsidR="00977679">
        <w:t xml:space="preserve">carbon credits </w:t>
      </w:r>
      <w:r>
        <w:t xml:space="preserve">on exchanges such as the European Climate Exchange, providing </w:t>
      </w:r>
      <w:r>
        <w:lastRenderedPageBreak/>
        <w:t>additional revenue. Implementing “green” policies can also provide businesses with valuable public-relations benefits among an increasingly environmentally conscious populace.</w:t>
      </w:r>
    </w:p>
    <w:p w:rsidR="00E63013" w:rsidRDefault="00E63013" w:rsidP="00E63013">
      <w:pPr>
        <w:pStyle w:val="Heading4"/>
      </w:pPr>
      <w:bookmarkStart w:id="5" w:name="_Toc200357132"/>
      <w:r>
        <w:t>Out-of-the-Box Power Savings</w:t>
      </w:r>
      <w:bookmarkEnd w:id="5"/>
    </w:p>
    <w:p w:rsidR="00E63013" w:rsidRDefault="001403D0" w:rsidP="00E63013">
      <w:pPr>
        <w:pStyle w:val="Text"/>
      </w:pPr>
      <w:bookmarkStart w:id="6" w:name="_Toc183405602"/>
      <w:bookmarkStart w:id="7" w:name="_Toc183405628"/>
      <w:r>
        <w:t xml:space="preserve">Microsoft conducted a </w:t>
      </w:r>
      <w:r w:rsidR="00763D3B">
        <w:t xml:space="preserve">series of </w:t>
      </w:r>
      <w:r>
        <w:t>test</w:t>
      </w:r>
      <w:r w:rsidR="00763D3B">
        <w:t>s</w:t>
      </w:r>
      <w:r>
        <w:t xml:space="preserve"> to compare</w:t>
      </w:r>
      <w:r w:rsidR="00CE395A">
        <w:t xml:space="preserve"> the power consumption of </w:t>
      </w:r>
      <w:r w:rsidR="00086E6E">
        <w:t xml:space="preserve">Windows Server 2008 against that of </w:t>
      </w:r>
      <w:r w:rsidR="00653F77">
        <w:t>Windows Server 2003</w:t>
      </w:r>
      <w:r w:rsidR="00C34271">
        <w:t xml:space="preserve"> (WS03)</w:t>
      </w:r>
      <w:r w:rsidR="00086E6E">
        <w:t xml:space="preserve">. </w:t>
      </w:r>
      <w:r w:rsidR="00763D3B">
        <w:t>For the first test, b</w:t>
      </w:r>
      <w:r w:rsidR="00086E6E">
        <w:t xml:space="preserve">oth operating systems were 64-bit editions, and were </w:t>
      </w:r>
      <w:r w:rsidR="00653F77">
        <w:t>installed with out-of-the-box (OOB) configurations</w:t>
      </w:r>
      <w:r w:rsidR="00CE395A">
        <w:t xml:space="preserve"> on </w:t>
      </w:r>
      <w:r w:rsidR="00D02CA2">
        <w:t xml:space="preserve">a single </w:t>
      </w:r>
      <w:r w:rsidR="003C5715">
        <w:t>server</w:t>
      </w:r>
      <w:r w:rsidR="00CE395A">
        <w:t xml:space="preserve"> with 2 dual-core processors and 4 gigabytes (GB) of </w:t>
      </w:r>
      <w:smartTag w:uri="urn:schemas-microsoft-com:office:smarttags" w:element="stockticker">
        <w:r w:rsidR="00CE395A">
          <w:t>RAM</w:t>
        </w:r>
      </w:smartTag>
      <w:r w:rsidR="00653F77">
        <w:t>.</w:t>
      </w:r>
      <w:r w:rsidR="00922548">
        <w:t xml:space="preserve"> (Windows Server 2003 was installed and tested, and then the hard disk was reformatted and Windows Server 2008 was installed on the same hardware.)</w:t>
      </w:r>
      <w:r w:rsidR="00086E6E">
        <w:t xml:space="preserve"> </w:t>
      </w:r>
      <w:r w:rsidR="003C5715">
        <w:t xml:space="preserve">Identical file </w:t>
      </w:r>
      <w:r w:rsidR="00E63013">
        <w:t xml:space="preserve">operations tests were conducted with escalating load levels up to the maximum load level the system could accommodate, and power consumption was monitored. </w:t>
      </w:r>
    </w:p>
    <w:p w:rsidR="00E63013" w:rsidRDefault="001409EA" w:rsidP="00E63013">
      <w:pPr>
        <w:pStyle w:val="Text"/>
      </w:pPr>
      <w:r>
        <w:t>The tests</w:t>
      </w:r>
      <w:r w:rsidR="00E63013">
        <w:t xml:space="preserve"> </w:t>
      </w:r>
      <w:r w:rsidR="00CE395A">
        <w:t xml:space="preserve">revealed </w:t>
      </w:r>
      <w:r w:rsidR="00E63013">
        <w:t>that Windows Server 2008 OOB achieved power savings of up to 10 percent over Windows Server 2003 OOB at comparable levels of throughput</w:t>
      </w:r>
      <w:r w:rsidR="00E63013">
        <w:rPr>
          <w:rStyle w:val="FootnoteReference"/>
        </w:rPr>
        <w:footnoteReference w:id="4"/>
      </w:r>
      <w:r w:rsidR="00E63013">
        <w:t xml:space="preserve">. </w:t>
      </w:r>
      <w:r w:rsidR="00D15678">
        <w:t>Figure 1</w:t>
      </w:r>
      <w:r w:rsidR="00E63013">
        <w:t xml:space="preserve"> illustrates the observed power consumption under each operating system</w:t>
      </w:r>
      <w:r w:rsidR="00E63013">
        <w:rPr>
          <w:rStyle w:val="FootnoteReference"/>
        </w:rPr>
        <w:footnoteReference w:id="5"/>
      </w:r>
      <w:r w:rsidR="00E63013">
        <w:t xml:space="preserve">, with wattage and workload expressed as a percentage of the maximum observed under Windows Server 2008. </w:t>
      </w:r>
      <w:r w:rsidR="005A1C7D">
        <w:t>WS03</w:t>
      </w:r>
      <w:r w:rsidR="00196C89">
        <w:t xml:space="preserve"> (the blue line), required more power </w:t>
      </w:r>
      <w:r w:rsidR="00736C70">
        <w:t xml:space="preserve">than </w:t>
      </w:r>
      <w:r w:rsidR="005A1C7D">
        <w:t>WS08</w:t>
      </w:r>
      <w:r w:rsidR="00736C70">
        <w:t xml:space="preserve"> (the red line) </w:t>
      </w:r>
      <w:r w:rsidR="00196C89">
        <w:t xml:space="preserve">at each data point to achieve comparable throughput, and was only able to attain approximately 80% of the maximum throughput observed for </w:t>
      </w:r>
      <w:r w:rsidR="005A1C7D">
        <w:t>WS08</w:t>
      </w:r>
      <w:r w:rsidR="00196C89">
        <w:t xml:space="preserve">. </w:t>
      </w:r>
      <w:r w:rsidR="00E63013">
        <w:t xml:space="preserve">(For test results, see Appendix </w:t>
      </w:r>
      <w:proofErr w:type="gramStart"/>
      <w:r w:rsidR="00E63013">
        <w:t>A</w:t>
      </w:r>
      <w:proofErr w:type="gramEnd"/>
      <w:r w:rsidR="00E63013">
        <w:t>, Test Results Spreadsheet, Tab 1</w:t>
      </w:r>
      <w:r w:rsidR="00E20869">
        <w:t xml:space="preserve"> Power and Throughput</w:t>
      </w:r>
      <w:r w:rsidR="00E63013">
        <w:t>.)</w:t>
      </w:r>
    </w:p>
    <w:p w:rsidR="00E63013" w:rsidRDefault="00E63013" w:rsidP="00E63013">
      <w:pPr>
        <w:pStyle w:val="Text"/>
      </w:pPr>
    </w:p>
    <w:p w:rsidR="00E63013" w:rsidRDefault="00F75A62" w:rsidP="00E63013">
      <w:pPr>
        <w:pStyle w:val="Figure"/>
        <w:keepNext/>
      </w:pPr>
      <w:r>
        <w:rPr>
          <w:noProof/>
        </w:rPr>
        <w:drawing>
          <wp:inline distT="0" distB="0" distL="0" distR="0">
            <wp:extent cx="5543550" cy="3057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543550" cy="3057525"/>
                    </a:xfrm>
                    <a:prstGeom prst="rect">
                      <a:avLst/>
                    </a:prstGeom>
                    <a:noFill/>
                    <a:ln w="9525">
                      <a:noFill/>
                      <a:miter lim="800000"/>
                      <a:headEnd/>
                      <a:tailEnd/>
                    </a:ln>
                  </pic:spPr>
                </pic:pic>
              </a:graphicData>
            </a:graphic>
          </wp:inline>
        </w:drawing>
      </w:r>
    </w:p>
    <w:p w:rsidR="00E63013" w:rsidRDefault="00E63013" w:rsidP="00E63013">
      <w:pPr>
        <w:pStyle w:val="Caption"/>
      </w:pPr>
      <w:r>
        <w:t xml:space="preserve">Figure </w:t>
      </w:r>
      <w:r w:rsidR="0023106A">
        <w:fldChar w:fldCharType="begin"/>
      </w:r>
      <w:r w:rsidR="00C444DC">
        <w:instrText xml:space="preserve"> SEQ Figure \* ARABIC </w:instrText>
      </w:r>
      <w:r w:rsidR="0023106A">
        <w:fldChar w:fldCharType="separate"/>
      </w:r>
      <w:r w:rsidR="002F0751">
        <w:rPr>
          <w:noProof/>
        </w:rPr>
        <w:t>1</w:t>
      </w:r>
      <w:r w:rsidR="0023106A">
        <w:fldChar w:fldCharType="end"/>
      </w:r>
      <w:r>
        <w:t xml:space="preserve">: </w:t>
      </w:r>
      <w:r w:rsidRPr="002219CA">
        <w:t>Power usage comparison between</w:t>
      </w:r>
      <w:r>
        <w:t xml:space="preserve"> OOB installations of</w:t>
      </w:r>
      <w:r w:rsidRPr="002219CA">
        <w:t xml:space="preserve"> Windows Server 2003</w:t>
      </w:r>
      <w:r w:rsidR="00C34271">
        <w:t xml:space="preserve"> </w:t>
      </w:r>
      <w:r w:rsidRPr="002219CA">
        <w:t>and Windows Server 2008.</w:t>
      </w:r>
      <w:r>
        <w:t xml:space="preserve"> </w:t>
      </w:r>
    </w:p>
    <w:p w:rsidR="00E63013" w:rsidRDefault="00CE395A" w:rsidP="00E63013">
      <w:pPr>
        <w:pStyle w:val="Text"/>
      </w:pPr>
      <w:r>
        <w:t xml:space="preserve">These power savings can be attributed in part to the improved support for PPM in </w:t>
      </w:r>
      <w:r w:rsidR="00E63013">
        <w:t xml:space="preserve">Windows Server 2008. PPM is now enabled by default, making the power savings illustrated in </w:t>
      </w:r>
      <w:r w:rsidR="00736C70">
        <w:t>Figure 1</w:t>
      </w:r>
      <w:r w:rsidR="00E63013">
        <w:t xml:space="preserve"> immediately available</w:t>
      </w:r>
      <w:r w:rsidR="00736C70">
        <w:t>,</w:t>
      </w:r>
      <w:r w:rsidR="00E63013">
        <w:t xml:space="preserve"> without additional configuration</w:t>
      </w:r>
      <w:r w:rsidR="00736C70">
        <w:t>,</w:t>
      </w:r>
      <w:r w:rsidR="00E63013">
        <w:t xml:space="preserve"> when Windows Server 2008 is </w:t>
      </w:r>
      <w:r w:rsidR="00E63013">
        <w:lastRenderedPageBreak/>
        <w:t xml:space="preserve">installed on </w:t>
      </w:r>
      <w:r w:rsidR="00641B83">
        <w:t xml:space="preserve">capable </w:t>
      </w:r>
      <w:r w:rsidR="00E63013">
        <w:t xml:space="preserve">hardware. </w:t>
      </w:r>
      <w:r w:rsidR="00FA15D3">
        <w:t>U</w:t>
      </w:r>
      <w:r w:rsidR="00E63013">
        <w:t xml:space="preserve">sing Group Policy, you can easily customize the PPM settings on individual servers and groups of servers across your organization as appropriate for each server’s functions and needs. </w:t>
      </w:r>
      <w:proofErr w:type="gramStart"/>
      <w:r w:rsidR="00E63013">
        <w:t>(See “Managing Server and Client Power Usage with Group Policy” below for more information.)</w:t>
      </w:r>
      <w:proofErr w:type="gramEnd"/>
      <w:r w:rsidR="00133E30">
        <w:t xml:space="preserve"> </w:t>
      </w:r>
    </w:p>
    <w:p w:rsidR="000A71DE" w:rsidRDefault="006B6861" w:rsidP="000A71DE">
      <w:pPr>
        <w:pStyle w:val="Text"/>
      </w:pPr>
      <w:r>
        <w:t xml:space="preserve">In </w:t>
      </w:r>
      <w:r w:rsidR="00415414">
        <w:t xml:space="preserve">a separate set of </w:t>
      </w:r>
      <w:r>
        <w:t>tests</w:t>
      </w:r>
      <w:r w:rsidR="00415414">
        <w:t xml:space="preserve">, </w:t>
      </w:r>
      <w:r w:rsidR="00315F30" w:rsidRPr="006551B0">
        <w:t xml:space="preserve">an enterprise-class server </w:t>
      </w:r>
      <w:r w:rsidR="00315F30">
        <w:t>with</w:t>
      </w:r>
      <w:r w:rsidR="00315F30" w:rsidRPr="006551B0">
        <w:t xml:space="preserve"> </w:t>
      </w:r>
      <w:r w:rsidR="00315F30" w:rsidRPr="006551B0">
        <w:rPr>
          <w:rFonts w:eastAsia="Times New Roman"/>
        </w:rPr>
        <w:t xml:space="preserve">4 quad-core processors, 16 </w:t>
      </w:r>
      <w:r w:rsidR="00315F30">
        <w:rPr>
          <w:rFonts w:eastAsia="Times New Roman"/>
        </w:rPr>
        <w:t>g</w:t>
      </w:r>
      <w:r w:rsidR="00315F30" w:rsidRPr="006551B0">
        <w:rPr>
          <w:rFonts w:eastAsia="Times New Roman"/>
        </w:rPr>
        <w:t xml:space="preserve">igabytes of </w:t>
      </w:r>
      <w:smartTag w:uri="urn:schemas-microsoft-com:office:smarttags" w:element="stockticker">
        <w:r w:rsidR="00315F30" w:rsidRPr="006551B0">
          <w:rPr>
            <w:rFonts w:eastAsia="Times New Roman"/>
          </w:rPr>
          <w:t>RAM</w:t>
        </w:r>
      </w:smartTag>
      <w:r w:rsidR="00315F30" w:rsidRPr="006551B0">
        <w:rPr>
          <w:rFonts w:eastAsia="Times New Roman"/>
        </w:rPr>
        <w:t xml:space="preserve">, </w:t>
      </w:r>
      <w:r w:rsidR="00315F30">
        <w:rPr>
          <w:rFonts w:eastAsia="Times New Roman"/>
        </w:rPr>
        <w:t>and a 288</w:t>
      </w:r>
      <w:r w:rsidR="00315F30" w:rsidRPr="006551B0">
        <w:rPr>
          <w:rFonts w:eastAsia="Times New Roman"/>
        </w:rPr>
        <w:t xml:space="preserve">GB RAID5 hard disk </w:t>
      </w:r>
      <w:r w:rsidR="00315F30">
        <w:rPr>
          <w:rFonts w:eastAsia="Times New Roman"/>
        </w:rPr>
        <w:t xml:space="preserve">array was configured with Windows Server 2003 running </w:t>
      </w:r>
      <w:r w:rsidR="00F23A65">
        <w:rPr>
          <w:rFonts w:eastAsia="Times New Roman"/>
        </w:rPr>
        <w:t>Internet Information Services 6 (</w:t>
      </w:r>
      <w:r w:rsidR="00315F30">
        <w:rPr>
          <w:rFonts w:eastAsia="Times New Roman"/>
        </w:rPr>
        <w:t>IIS6</w:t>
      </w:r>
      <w:r w:rsidR="00F23A65">
        <w:rPr>
          <w:rFonts w:eastAsia="Times New Roman"/>
        </w:rPr>
        <w:t>)</w:t>
      </w:r>
      <w:r w:rsidR="00315F30">
        <w:rPr>
          <w:rFonts w:eastAsia="Times New Roman"/>
        </w:rPr>
        <w:t>.</w:t>
      </w:r>
      <w:r w:rsidR="005D68D8">
        <w:t xml:space="preserve"> Power consumption was monitored while the server was in an idle state, and while it was being</w:t>
      </w:r>
      <w:r w:rsidR="000A71DE">
        <w:t xml:space="preserve"> subjected to </w:t>
      </w:r>
      <w:r w:rsidR="000D4027">
        <w:t>a processing load generated by 20 active clients</w:t>
      </w:r>
      <w:r w:rsidR="00EC26FE">
        <w:t>.</w:t>
      </w:r>
      <w:r w:rsidR="000A71DE">
        <w:t xml:space="preserve"> Windows Server 2003 was then replaced with Windows Server 2008 </w:t>
      </w:r>
      <w:r w:rsidR="009D69BE">
        <w:t xml:space="preserve">running </w:t>
      </w:r>
      <w:r w:rsidR="00F23A65">
        <w:t>Internet Information Services 7 (</w:t>
      </w:r>
      <w:r w:rsidR="009D69BE">
        <w:t>IIS7</w:t>
      </w:r>
      <w:r w:rsidR="00F23A65">
        <w:t>)</w:t>
      </w:r>
      <w:r w:rsidR="009D69BE">
        <w:t xml:space="preserve"> </w:t>
      </w:r>
      <w:r w:rsidR="000A71DE">
        <w:t>on the same physical hardware, and the test</w:t>
      </w:r>
      <w:r w:rsidR="005D68D8">
        <w:t>s were</w:t>
      </w:r>
      <w:r w:rsidR="000A71DE">
        <w:t xml:space="preserve"> repeated.</w:t>
      </w:r>
      <w:r w:rsidR="00B860A7">
        <w:t xml:space="preserve"> </w:t>
      </w:r>
      <w:r w:rsidR="000A71DE" w:rsidRPr="006B6861">
        <w:t xml:space="preserve">Figure 2 shows the results of </w:t>
      </w:r>
      <w:r w:rsidR="00B860A7">
        <w:t xml:space="preserve">the </w:t>
      </w:r>
      <w:r w:rsidR="000A71DE" w:rsidRPr="006B6861">
        <w:t>4 tests</w:t>
      </w:r>
      <w:r w:rsidR="000A71DE">
        <w:t xml:space="preserve"> performed on </w:t>
      </w:r>
      <w:r w:rsidR="00B860A7">
        <w:t>this</w:t>
      </w:r>
      <w:r w:rsidR="000A71DE">
        <w:t xml:space="preserve"> hardware</w:t>
      </w:r>
      <w:r w:rsidR="000A71DE" w:rsidRPr="006B6861">
        <w:t>.</w:t>
      </w:r>
    </w:p>
    <w:p w:rsidR="00282190" w:rsidRDefault="00282190" w:rsidP="000A71DE">
      <w:pPr>
        <w:pStyle w:val="Text"/>
      </w:pPr>
    </w:p>
    <w:p w:rsidR="00641B83" w:rsidRDefault="00F354CE">
      <w:pPr>
        <w:pStyle w:val="Figure"/>
      </w:pPr>
      <w:r>
        <w:rPr>
          <w:noProof/>
        </w:rPr>
        <w:drawing>
          <wp:inline distT="0" distB="0" distL="0" distR="0">
            <wp:extent cx="5534025" cy="3638109"/>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534025" cy="3638109"/>
                    </a:xfrm>
                    <a:prstGeom prst="rect">
                      <a:avLst/>
                    </a:prstGeom>
                    <a:noFill/>
                    <a:ln w="9525">
                      <a:noFill/>
                      <a:miter lim="800000"/>
                      <a:headEnd/>
                      <a:tailEnd/>
                    </a:ln>
                  </pic:spPr>
                </pic:pic>
              </a:graphicData>
            </a:graphic>
          </wp:inline>
        </w:drawing>
      </w:r>
    </w:p>
    <w:p w:rsidR="00C444DC" w:rsidRDefault="00D07057" w:rsidP="00C444DC">
      <w:pPr>
        <w:pStyle w:val="Caption"/>
      </w:pPr>
      <w:r>
        <w:t xml:space="preserve">Figure </w:t>
      </w:r>
      <w:r w:rsidR="0023106A">
        <w:fldChar w:fldCharType="begin"/>
      </w:r>
      <w:r>
        <w:instrText xml:space="preserve"> SEQ Figure \* ARABIC </w:instrText>
      </w:r>
      <w:r w:rsidR="0023106A">
        <w:fldChar w:fldCharType="separate"/>
      </w:r>
      <w:r w:rsidR="002F0751">
        <w:rPr>
          <w:noProof/>
        </w:rPr>
        <w:t>2</w:t>
      </w:r>
      <w:r w:rsidR="0023106A">
        <w:fldChar w:fldCharType="end"/>
      </w:r>
      <w:r>
        <w:t>:</w:t>
      </w:r>
      <w:r w:rsidR="000A71DE" w:rsidRPr="00D42561">
        <w:t xml:space="preserve"> Power usage of idle vs. active servers for Windows Server 2003 and Windows Server 2008.</w:t>
      </w:r>
      <w:r w:rsidR="000A71DE">
        <w:t xml:space="preserve"> </w:t>
      </w:r>
    </w:p>
    <w:p w:rsidR="00282190" w:rsidRDefault="00282190" w:rsidP="00B96E6F">
      <w:pPr>
        <w:pStyle w:val="Text"/>
      </w:pPr>
    </w:p>
    <w:p w:rsidR="00030904" w:rsidRDefault="000A71DE" w:rsidP="00B96E6F">
      <w:pPr>
        <w:pStyle w:val="Text"/>
      </w:pPr>
      <w:r>
        <w:t xml:space="preserve">These tests </w:t>
      </w:r>
      <w:r w:rsidR="005F5884">
        <w:t>show</w:t>
      </w:r>
      <w:r w:rsidR="00184391">
        <w:t>ed</w:t>
      </w:r>
      <w:r w:rsidR="005F5884">
        <w:t xml:space="preserve"> </w:t>
      </w:r>
      <w:r w:rsidR="00415414">
        <w:t xml:space="preserve">Windows Server 2008 </w:t>
      </w:r>
      <w:r w:rsidR="00184391">
        <w:t xml:space="preserve">using </w:t>
      </w:r>
      <w:r w:rsidR="00415414">
        <w:t xml:space="preserve">less power than Windows Server 2003 </w:t>
      </w:r>
      <w:r>
        <w:t>when running on the same hardware</w:t>
      </w:r>
      <w:r w:rsidR="00F23A65">
        <w:t xml:space="preserve"> at comparable levels of throughput</w:t>
      </w:r>
      <w:r w:rsidR="00884B63">
        <w:t xml:space="preserve">. </w:t>
      </w:r>
      <w:r w:rsidR="00A358B4">
        <w:t>Savings ranged between 2.3 percent at idle and 6.8 percent when the servers</w:t>
      </w:r>
      <w:r w:rsidR="00884B63">
        <w:t xml:space="preserve"> were actively servicing requests</w:t>
      </w:r>
      <w:r w:rsidR="00CC4556">
        <w:t xml:space="preserve">. </w:t>
      </w:r>
      <w:r w:rsidR="00DA7DBC">
        <w:t>Again</w:t>
      </w:r>
      <w:r w:rsidR="00274C7C">
        <w:t xml:space="preserve">, the power management </w:t>
      </w:r>
      <w:r w:rsidR="00884B63">
        <w:t xml:space="preserve">configuration </w:t>
      </w:r>
      <w:r w:rsidR="00DA7DBC">
        <w:t xml:space="preserve">in both operating systems </w:t>
      </w:r>
      <w:r w:rsidR="00274C7C">
        <w:t xml:space="preserve">was the default OOB </w:t>
      </w:r>
      <w:r w:rsidR="00884B63">
        <w:t>setting</w:t>
      </w:r>
      <w:r w:rsidR="00274C7C">
        <w:t>.</w:t>
      </w:r>
      <w:r w:rsidR="00274C7C" w:rsidRPr="00274C7C">
        <w:t xml:space="preserve"> </w:t>
      </w:r>
      <w:r w:rsidR="005D320B">
        <w:t xml:space="preserve">In </w:t>
      </w:r>
      <w:r w:rsidR="006B6861">
        <w:t>its</w:t>
      </w:r>
      <w:r w:rsidR="005D320B">
        <w:t xml:space="preserve"> default configuration, </w:t>
      </w:r>
      <w:r w:rsidR="00DA7DBC">
        <w:t>Windows Server 2008</w:t>
      </w:r>
      <w:r w:rsidR="005D320B">
        <w:t xml:space="preserve"> </w:t>
      </w:r>
      <w:r w:rsidR="00274C7C">
        <w:t>adjust</w:t>
      </w:r>
      <w:r w:rsidR="00EC26FE">
        <w:t>s</w:t>
      </w:r>
      <w:r w:rsidR="00274C7C">
        <w:t xml:space="preserve"> </w:t>
      </w:r>
      <w:r w:rsidR="00AD0F9D">
        <w:t>the processor performance state</w:t>
      </w:r>
      <w:r w:rsidR="009E1105">
        <w:t xml:space="preserve"> of capable CPUs</w:t>
      </w:r>
      <w:r w:rsidR="00274C7C">
        <w:t xml:space="preserve"> based on </w:t>
      </w:r>
      <w:r w:rsidR="00AD0F9D">
        <w:t>work</w:t>
      </w:r>
      <w:r w:rsidR="00274C7C">
        <w:t>load requirements</w:t>
      </w:r>
      <w:r w:rsidR="005D320B">
        <w:t xml:space="preserve">, whereas in </w:t>
      </w:r>
      <w:r w:rsidR="00DA7DBC">
        <w:t>Windows Server 2003</w:t>
      </w:r>
      <w:r w:rsidR="00274C7C">
        <w:t xml:space="preserve"> the CPU always </w:t>
      </w:r>
      <w:r w:rsidR="005D320B">
        <w:t xml:space="preserve">runs </w:t>
      </w:r>
      <w:r w:rsidR="00274C7C">
        <w:t xml:space="preserve">at </w:t>
      </w:r>
      <w:r w:rsidR="009E1105">
        <w:t>P0 (the highest-performance processor state)</w:t>
      </w:r>
      <w:r w:rsidR="005D320B">
        <w:t xml:space="preserve"> by default</w:t>
      </w:r>
      <w:r w:rsidR="00926E74">
        <w:t>.</w:t>
      </w:r>
    </w:p>
    <w:p w:rsidR="00BD6F1C" w:rsidRDefault="006B6861" w:rsidP="00E63013">
      <w:pPr>
        <w:pStyle w:val="Text"/>
      </w:pPr>
      <w:r>
        <w:t xml:space="preserve">Figure 3 </w:t>
      </w:r>
      <w:r w:rsidR="00B47633">
        <w:t xml:space="preserve">projects the number of kilowatt-hours (kWh) </w:t>
      </w:r>
      <w:r w:rsidR="00F87EC3">
        <w:t xml:space="preserve">that would be </w:t>
      </w:r>
      <w:r w:rsidR="00B47633">
        <w:t>consumed by each server for an entire year</w:t>
      </w:r>
      <w:r w:rsidR="00B860A7">
        <w:t>,</w:t>
      </w:r>
      <w:r w:rsidR="00B47633">
        <w:t xml:space="preserve"> </w:t>
      </w:r>
      <w:r w:rsidR="00B860A7">
        <w:t>as well as the</w:t>
      </w:r>
      <w:r w:rsidR="00AD4839">
        <w:t xml:space="preserve"> estimated</w:t>
      </w:r>
      <w:r w:rsidR="00B860A7">
        <w:t xml:space="preserve"> cost in US dollars and the</w:t>
      </w:r>
      <w:r w:rsidR="00AD4839">
        <w:t xml:space="preserve"> estimated</w:t>
      </w:r>
      <w:r w:rsidR="00B860A7">
        <w:t xml:space="preserve"> amount of carbon dioxide (CO</w:t>
      </w:r>
      <w:r w:rsidR="00E91AB9" w:rsidRPr="00E91AB9">
        <w:rPr>
          <w:vertAlign w:val="subscript"/>
        </w:rPr>
        <w:t>2</w:t>
      </w:r>
      <w:r w:rsidR="00B860A7">
        <w:t xml:space="preserve">) produced (which can be useful for calculating carbon credits) </w:t>
      </w:r>
      <w:r w:rsidR="008315E5">
        <w:lastRenderedPageBreak/>
        <w:t>for the same time period.</w:t>
      </w:r>
      <w:r w:rsidR="00B26768">
        <w:rPr>
          <w:rStyle w:val="FootnoteReference"/>
        </w:rPr>
        <w:footnoteReference w:id="6"/>
      </w:r>
      <w:r w:rsidR="00051C7F" w:rsidRPr="00051C7F">
        <w:t xml:space="preserve"> </w:t>
      </w:r>
      <w:r w:rsidR="00051C7F">
        <w:t xml:space="preserve">(For test results, see Appendix </w:t>
      </w:r>
      <w:proofErr w:type="gramStart"/>
      <w:r w:rsidR="00051C7F">
        <w:t>A</w:t>
      </w:r>
      <w:proofErr w:type="gramEnd"/>
      <w:r w:rsidR="00051C7F">
        <w:t>, Test Results Spreadsheet, Tabs 2-5.)</w:t>
      </w:r>
    </w:p>
    <w:p w:rsidR="00282190" w:rsidRDefault="00282190" w:rsidP="00E63013">
      <w:pPr>
        <w:pStyle w:val="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1440"/>
        <w:gridCol w:w="1350"/>
        <w:gridCol w:w="1530"/>
        <w:gridCol w:w="1440"/>
        <w:gridCol w:w="1980"/>
      </w:tblGrid>
      <w:tr w:rsidR="00031115" w:rsidRPr="009D3774" w:rsidTr="00FB66D9">
        <w:trPr>
          <w:trHeight w:val="332"/>
        </w:trPr>
        <w:tc>
          <w:tcPr>
            <w:tcW w:w="2988" w:type="dxa"/>
            <w:gridSpan w:val="2"/>
            <w:vAlign w:val="center"/>
          </w:tcPr>
          <w:p w:rsidR="00031115" w:rsidRPr="009D3774" w:rsidRDefault="00F23A65" w:rsidP="00FA76A5">
            <w:pPr>
              <w:pStyle w:val="Text"/>
              <w:keepNext/>
              <w:keepLines/>
              <w:jc w:val="center"/>
              <w:rPr>
                <w:b/>
              </w:rPr>
            </w:pPr>
            <w:r>
              <w:rPr>
                <w:b/>
              </w:rPr>
              <w:t>Server C</w:t>
            </w:r>
            <w:r w:rsidR="008C12A9">
              <w:rPr>
                <w:b/>
              </w:rPr>
              <w:t>onfiguration</w:t>
            </w:r>
          </w:p>
        </w:tc>
        <w:tc>
          <w:tcPr>
            <w:tcW w:w="1350" w:type="dxa"/>
            <w:vAlign w:val="center"/>
          </w:tcPr>
          <w:p w:rsidR="00031115" w:rsidRPr="009D3774" w:rsidRDefault="00031115" w:rsidP="00FA76A5">
            <w:pPr>
              <w:pStyle w:val="Text"/>
              <w:keepNext/>
              <w:keepLines/>
              <w:jc w:val="center"/>
              <w:rPr>
                <w:b/>
              </w:rPr>
            </w:pPr>
            <w:r w:rsidRPr="009D3774">
              <w:rPr>
                <w:b/>
              </w:rPr>
              <w:t>Measured</w:t>
            </w:r>
          </w:p>
        </w:tc>
        <w:tc>
          <w:tcPr>
            <w:tcW w:w="4950" w:type="dxa"/>
            <w:gridSpan w:val="3"/>
            <w:vAlign w:val="center"/>
          </w:tcPr>
          <w:p w:rsidR="00031115" w:rsidRPr="009D3774" w:rsidRDefault="00031115">
            <w:pPr>
              <w:pStyle w:val="Text"/>
              <w:keepNext/>
              <w:keepLines/>
              <w:jc w:val="center"/>
              <w:rPr>
                <w:b/>
              </w:rPr>
            </w:pPr>
            <w:r w:rsidRPr="009D3774">
              <w:rPr>
                <w:b/>
              </w:rPr>
              <w:t>Projected</w:t>
            </w:r>
            <w:r>
              <w:rPr>
                <w:b/>
              </w:rPr>
              <w:t xml:space="preserve"> Equivalents</w:t>
            </w:r>
          </w:p>
        </w:tc>
      </w:tr>
      <w:tr w:rsidR="00031115" w:rsidRPr="009D3774" w:rsidTr="00031115">
        <w:trPr>
          <w:trHeight w:val="1043"/>
        </w:trPr>
        <w:tc>
          <w:tcPr>
            <w:tcW w:w="1548" w:type="dxa"/>
            <w:vAlign w:val="center"/>
          </w:tcPr>
          <w:p w:rsidR="00031115" w:rsidRPr="009D3774" w:rsidRDefault="00031115" w:rsidP="00FA76A5">
            <w:pPr>
              <w:pStyle w:val="Text"/>
              <w:keepNext/>
              <w:keepLines/>
              <w:jc w:val="center"/>
              <w:rPr>
                <w:b/>
              </w:rPr>
            </w:pPr>
            <w:r>
              <w:rPr>
                <w:b/>
              </w:rPr>
              <w:t xml:space="preserve">Standalone </w:t>
            </w:r>
            <w:r w:rsidR="00F23A65">
              <w:rPr>
                <w:b/>
              </w:rPr>
              <w:t>Server S</w:t>
            </w:r>
            <w:r w:rsidRPr="009D3774">
              <w:rPr>
                <w:b/>
              </w:rPr>
              <w:t>etup</w:t>
            </w:r>
          </w:p>
        </w:tc>
        <w:tc>
          <w:tcPr>
            <w:tcW w:w="1440" w:type="dxa"/>
            <w:vAlign w:val="center"/>
          </w:tcPr>
          <w:p w:rsidR="00031115" w:rsidRPr="009D3774" w:rsidRDefault="00F23A65" w:rsidP="00FA76A5">
            <w:pPr>
              <w:pStyle w:val="Text"/>
              <w:keepNext/>
              <w:keepLines/>
              <w:jc w:val="center"/>
              <w:rPr>
                <w:b/>
              </w:rPr>
            </w:pPr>
            <w:r>
              <w:rPr>
                <w:b/>
              </w:rPr>
              <w:t>Processing L</w:t>
            </w:r>
            <w:r w:rsidR="00031115" w:rsidRPr="009D3774">
              <w:rPr>
                <w:b/>
              </w:rPr>
              <w:t>oad</w:t>
            </w:r>
          </w:p>
        </w:tc>
        <w:tc>
          <w:tcPr>
            <w:tcW w:w="1350" w:type="dxa"/>
            <w:vAlign w:val="center"/>
          </w:tcPr>
          <w:p w:rsidR="00031115" w:rsidRPr="009D3774" w:rsidRDefault="00F23A65" w:rsidP="00FA76A5">
            <w:pPr>
              <w:pStyle w:val="Text"/>
              <w:keepNext/>
              <w:keepLines/>
              <w:jc w:val="center"/>
              <w:rPr>
                <w:b/>
              </w:rPr>
            </w:pPr>
            <w:r>
              <w:rPr>
                <w:b/>
              </w:rPr>
              <w:t>Average W</w:t>
            </w:r>
            <w:r w:rsidR="00031115" w:rsidRPr="009D3774">
              <w:rPr>
                <w:b/>
              </w:rPr>
              <w:t>atts</w:t>
            </w:r>
          </w:p>
        </w:tc>
        <w:tc>
          <w:tcPr>
            <w:tcW w:w="1530" w:type="dxa"/>
            <w:vAlign w:val="center"/>
          </w:tcPr>
          <w:p w:rsidR="00031115" w:rsidRPr="009D3774" w:rsidRDefault="00031115" w:rsidP="00D8045B">
            <w:pPr>
              <w:pStyle w:val="Text"/>
              <w:keepNext/>
              <w:keepLines/>
              <w:jc w:val="center"/>
              <w:rPr>
                <w:b/>
              </w:rPr>
            </w:pPr>
            <w:r w:rsidRPr="009D3774">
              <w:rPr>
                <w:b/>
              </w:rPr>
              <w:t>kWh</w:t>
            </w:r>
            <w:r>
              <w:rPr>
                <w:b/>
              </w:rPr>
              <w:t xml:space="preserve"> per </w:t>
            </w:r>
            <w:r w:rsidR="00F23A65">
              <w:rPr>
                <w:b/>
              </w:rPr>
              <w:t>Y</w:t>
            </w:r>
            <w:r w:rsidRPr="009D3774">
              <w:rPr>
                <w:b/>
              </w:rPr>
              <w:t>ear</w:t>
            </w:r>
          </w:p>
        </w:tc>
        <w:tc>
          <w:tcPr>
            <w:tcW w:w="1440" w:type="dxa"/>
            <w:vAlign w:val="center"/>
          </w:tcPr>
          <w:p w:rsidR="00031115" w:rsidRPr="009D3774" w:rsidRDefault="00031115" w:rsidP="00635CD9">
            <w:pPr>
              <w:pStyle w:val="Text"/>
              <w:keepNext/>
              <w:keepLines/>
              <w:jc w:val="center"/>
              <w:rPr>
                <w:b/>
              </w:rPr>
            </w:pPr>
            <w:r w:rsidRPr="009D3774">
              <w:rPr>
                <w:b/>
              </w:rPr>
              <w:t>Cost</w:t>
            </w:r>
          </w:p>
        </w:tc>
        <w:tc>
          <w:tcPr>
            <w:tcW w:w="1980" w:type="dxa"/>
            <w:vAlign w:val="center"/>
          </w:tcPr>
          <w:p w:rsidR="00031115" w:rsidRPr="009D3774" w:rsidRDefault="005551CC" w:rsidP="00031115">
            <w:pPr>
              <w:pStyle w:val="Text"/>
              <w:keepNext/>
              <w:keepLines/>
              <w:jc w:val="center"/>
              <w:rPr>
                <w:b/>
              </w:rPr>
            </w:pPr>
            <w:r>
              <w:rPr>
                <w:b/>
              </w:rPr>
              <w:t>Kilograms</w:t>
            </w:r>
            <w:r w:rsidRPr="009D3774">
              <w:rPr>
                <w:b/>
              </w:rPr>
              <w:t xml:space="preserve"> </w:t>
            </w:r>
            <w:r w:rsidR="00031115" w:rsidRPr="009D3774">
              <w:rPr>
                <w:b/>
              </w:rPr>
              <w:t>of CO</w:t>
            </w:r>
            <w:r w:rsidR="00031115" w:rsidRPr="009D3774">
              <w:rPr>
                <w:b/>
                <w:vertAlign w:val="subscript"/>
              </w:rPr>
              <w:t>2</w:t>
            </w:r>
          </w:p>
        </w:tc>
      </w:tr>
      <w:tr w:rsidR="00031115" w:rsidRPr="009D3774" w:rsidTr="00031115">
        <w:tc>
          <w:tcPr>
            <w:tcW w:w="1548" w:type="dxa"/>
            <w:vAlign w:val="center"/>
          </w:tcPr>
          <w:p w:rsidR="00031115" w:rsidRPr="009D3774" w:rsidRDefault="005A1C7D" w:rsidP="008C12A9">
            <w:pPr>
              <w:pStyle w:val="Text"/>
              <w:keepNext/>
              <w:keepLines/>
              <w:jc w:val="center"/>
            </w:pPr>
            <w:r>
              <w:t>WS03</w:t>
            </w:r>
            <w:r w:rsidR="00031115" w:rsidRPr="009D3774">
              <w:t xml:space="preserve"> IIS6</w:t>
            </w:r>
          </w:p>
        </w:tc>
        <w:tc>
          <w:tcPr>
            <w:tcW w:w="1440" w:type="dxa"/>
            <w:vAlign w:val="center"/>
          </w:tcPr>
          <w:p w:rsidR="00031115" w:rsidRPr="009D3774" w:rsidRDefault="00031115" w:rsidP="008C12A9">
            <w:pPr>
              <w:pStyle w:val="Text"/>
              <w:keepNext/>
              <w:keepLines/>
              <w:jc w:val="center"/>
            </w:pPr>
            <w:r w:rsidRPr="009D3774">
              <w:t>Idle</w:t>
            </w:r>
          </w:p>
        </w:tc>
        <w:tc>
          <w:tcPr>
            <w:tcW w:w="1350" w:type="dxa"/>
            <w:vAlign w:val="center"/>
          </w:tcPr>
          <w:p w:rsidR="00031115" w:rsidRPr="009D3774" w:rsidRDefault="00031115" w:rsidP="008C12A9">
            <w:pPr>
              <w:pStyle w:val="Text"/>
              <w:keepNext/>
              <w:keepLines/>
              <w:jc w:val="center"/>
            </w:pPr>
            <w:r w:rsidRPr="009D3774">
              <w:t>467.62</w:t>
            </w:r>
          </w:p>
        </w:tc>
        <w:tc>
          <w:tcPr>
            <w:tcW w:w="1530" w:type="dxa"/>
            <w:vAlign w:val="center"/>
          </w:tcPr>
          <w:p w:rsidR="00031115" w:rsidRPr="009D3774" w:rsidRDefault="00031115" w:rsidP="008C12A9">
            <w:pPr>
              <w:pStyle w:val="Text"/>
              <w:keepNext/>
              <w:keepLines/>
              <w:jc w:val="center"/>
            </w:pPr>
            <w:r w:rsidRPr="009D3774">
              <w:t>4</w:t>
            </w:r>
            <w:r>
              <w:t>,</w:t>
            </w:r>
            <w:r w:rsidRPr="009D3774">
              <w:t>099.16</w:t>
            </w:r>
          </w:p>
        </w:tc>
        <w:tc>
          <w:tcPr>
            <w:tcW w:w="1440" w:type="dxa"/>
            <w:vAlign w:val="center"/>
          </w:tcPr>
          <w:p w:rsidR="00031115" w:rsidRPr="009D3774" w:rsidRDefault="00031115" w:rsidP="008C12A9">
            <w:pPr>
              <w:pStyle w:val="Text"/>
              <w:keepNext/>
              <w:keepLines/>
              <w:jc w:val="center"/>
            </w:pPr>
            <w:r w:rsidRPr="009D3774">
              <w:t>$374.66</w:t>
            </w:r>
          </w:p>
        </w:tc>
        <w:tc>
          <w:tcPr>
            <w:tcW w:w="1980" w:type="dxa"/>
            <w:vAlign w:val="center"/>
          </w:tcPr>
          <w:p w:rsidR="00031115" w:rsidRPr="009D3774" w:rsidRDefault="000428F8" w:rsidP="008C12A9">
            <w:pPr>
              <w:pStyle w:val="Text"/>
              <w:keepNext/>
              <w:keepLines/>
              <w:jc w:val="center"/>
            </w:pPr>
            <w:r>
              <w:t>3,</w:t>
            </w:r>
            <w:r w:rsidR="000C6BA1">
              <w:t>187</w:t>
            </w:r>
          </w:p>
        </w:tc>
      </w:tr>
      <w:tr w:rsidR="00031115" w:rsidRPr="009D3774" w:rsidTr="00031115">
        <w:tc>
          <w:tcPr>
            <w:tcW w:w="1548" w:type="dxa"/>
            <w:vAlign w:val="center"/>
          </w:tcPr>
          <w:p w:rsidR="00031115" w:rsidRPr="009D3774" w:rsidRDefault="005A1C7D" w:rsidP="008C12A9">
            <w:pPr>
              <w:pStyle w:val="Text"/>
              <w:keepNext/>
              <w:keepLines/>
              <w:jc w:val="center"/>
            </w:pPr>
            <w:r>
              <w:t>WS08</w:t>
            </w:r>
            <w:r w:rsidR="00031115" w:rsidRPr="009D3774">
              <w:t xml:space="preserve"> IIS</w:t>
            </w:r>
            <w:r w:rsidR="00031115">
              <w:t>7</w:t>
            </w:r>
          </w:p>
        </w:tc>
        <w:tc>
          <w:tcPr>
            <w:tcW w:w="1440" w:type="dxa"/>
            <w:vAlign w:val="center"/>
          </w:tcPr>
          <w:p w:rsidR="00031115" w:rsidRPr="009D3774" w:rsidRDefault="00031115" w:rsidP="008C12A9">
            <w:pPr>
              <w:pStyle w:val="Text"/>
              <w:keepNext/>
              <w:keepLines/>
              <w:jc w:val="center"/>
            </w:pPr>
            <w:r w:rsidRPr="009D3774">
              <w:t>Idle</w:t>
            </w:r>
          </w:p>
        </w:tc>
        <w:tc>
          <w:tcPr>
            <w:tcW w:w="1350" w:type="dxa"/>
            <w:vAlign w:val="center"/>
          </w:tcPr>
          <w:p w:rsidR="00031115" w:rsidRPr="009D3774" w:rsidRDefault="00031115" w:rsidP="008C12A9">
            <w:pPr>
              <w:pStyle w:val="Text"/>
              <w:keepNext/>
              <w:keepLines/>
              <w:jc w:val="center"/>
            </w:pPr>
            <w:r w:rsidRPr="009D3774">
              <w:t>456.73</w:t>
            </w:r>
          </w:p>
        </w:tc>
        <w:tc>
          <w:tcPr>
            <w:tcW w:w="1530" w:type="dxa"/>
            <w:vAlign w:val="center"/>
          </w:tcPr>
          <w:p w:rsidR="00031115" w:rsidRPr="009D3774" w:rsidRDefault="00031115" w:rsidP="008C12A9">
            <w:pPr>
              <w:pStyle w:val="Text"/>
              <w:keepNext/>
              <w:keepLines/>
              <w:jc w:val="center"/>
            </w:pPr>
            <w:r w:rsidRPr="009D3774">
              <w:t>4</w:t>
            </w:r>
            <w:r>
              <w:t>,</w:t>
            </w:r>
            <w:r w:rsidRPr="009D3774">
              <w:t>003.70</w:t>
            </w:r>
          </w:p>
        </w:tc>
        <w:tc>
          <w:tcPr>
            <w:tcW w:w="1440" w:type="dxa"/>
            <w:vAlign w:val="center"/>
          </w:tcPr>
          <w:p w:rsidR="00031115" w:rsidRPr="009D3774" w:rsidRDefault="00031115" w:rsidP="008C12A9">
            <w:pPr>
              <w:pStyle w:val="Text"/>
              <w:keepNext/>
              <w:keepLines/>
              <w:jc w:val="center"/>
            </w:pPr>
            <w:r w:rsidRPr="009D3774">
              <w:t>$356.94</w:t>
            </w:r>
          </w:p>
        </w:tc>
        <w:tc>
          <w:tcPr>
            <w:tcW w:w="1980" w:type="dxa"/>
            <w:vAlign w:val="center"/>
          </w:tcPr>
          <w:p w:rsidR="00031115" w:rsidRPr="009D3774" w:rsidRDefault="000428F8" w:rsidP="008C12A9">
            <w:pPr>
              <w:pStyle w:val="Text"/>
              <w:keepNext/>
              <w:keepLines/>
              <w:jc w:val="center"/>
            </w:pPr>
            <w:r>
              <w:t>3,1</w:t>
            </w:r>
            <w:r w:rsidR="000C6BA1">
              <w:t>13</w:t>
            </w:r>
          </w:p>
        </w:tc>
      </w:tr>
      <w:tr w:rsidR="00031115" w:rsidRPr="009D3774" w:rsidTr="00031115">
        <w:tc>
          <w:tcPr>
            <w:tcW w:w="1548" w:type="dxa"/>
            <w:vAlign w:val="center"/>
          </w:tcPr>
          <w:p w:rsidR="00641B83" w:rsidRDefault="005A1C7D">
            <w:pPr>
              <w:pStyle w:val="Text"/>
              <w:jc w:val="center"/>
            </w:pPr>
            <w:r>
              <w:t>WS03</w:t>
            </w:r>
            <w:r w:rsidR="00031115" w:rsidRPr="009D3774">
              <w:t xml:space="preserve"> IIS6</w:t>
            </w:r>
          </w:p>
        </w:tc>
        <w:tc>
          <w:tcPr>
            <w:tcW w:w="1440" w:type="dxa"/>
            <w:vAlign w:val="center"/>
          </w:tcPr>
          <w:p w:rsidR="00641B83" w:rsidRDefault="00031115">
            <w:pPr>
              <w:pStyle w:val="Text"/>
              <w:jc w:val="center"/>
            </w:pPr>
            <w:r>
              <w:t>20 active clients</w:t>
            </w:r>
          </w:p>
        </w:tc>
        <w:tc>
          <w:tcPr>
            <w:tcW w:w="1350" w:type="dxa"/>
            <w:vAlign w:val="center"/>
          </w:tcPr>
          <w:p w:rsidR="00641B83" w:rsidRDefault="00031115">
            <w:pPr>
              <w:pStyle w:val="Text"/>
              <w:jc w:val="center"/>
            </w:pPr>
            <w:r w:rsidRPr="009D3774">
              <w:t>536.66</w:t>
            </w:r>
          </w:p>
        </w:tc>
        <w:tc>
          <w:tcPr>
            <w:tcW w:w="1530" w:type="dxa"/>
            <w:vAlign w:val="center"/>
          </w:tcPr>
          <w:p w:rsidR="00641B83" w:rsidRDefault="00031115">
            <w:pPr>
              <w:pStyle w:val="Text"/>
              <w:jc w:val="center"/>
            </w:pPr>
            <w:r w:rsidRPr="009D3774">
              <w:t>4,704.36</w:t>
            </w:r>
          </w:p>
        </w:tc>
        <w:tc>
          <w:tcPr>
            <w:tcW w:w="1440" w:type="dxa"/>
            <w:vAlign w:val="center"/>
          </w:tcPr>
          <w:p w:rsidR="00641B83" w:rsidRDefault="00031115">
            <w:pPr>
              <w:pStyle w:val="Text"/>
              <w:jc w:val="center"/>
            </w:pPr>
            <w:r w:rsidRPr="009D3774">
              <w:t>$429.98</w:t>
            </w:r>
          </w:p>
        </w:tc>
        <w:tc>
          <w:tcPr>
            <w:tcW w:w="1980" w:type="dxa"/>
            <w:vAlign w:val="center"/>
          </w:tcPr>
          <w:p w:rsidR="00641B83" w:rsidRDefault="000C6BA1">
            <w:pPr>
              <w:pStyle w:val="Text"/>
              <w:jc w:val="center"/>
            </w:pPr>
            <w:r>
              <w:t>3,657</w:t>
            </w:r>
          </w:p>
        </w:tc>
      </w:tr>
      <w:tr w:rsidR="00031115" w:rsidRPr="009D3774" w:rsidTr="00031115">
        <w:tc>
          <w:tcPr>
            <w:tcW w:w="1548" w:type="dxa"/>
            <w:vAlign w:val="center"/>
          </w:tcPr>
          <w:p w:rsidR="00641B83" w:rsidRDefault="005A1C7D">
            <w:pPr>
              <w:pStyle w:val="Text"/>
              <w:jc w:val="center"/>
            </w:pPr>
            <w:r>
              <w:t>WS08</w:t>
            </w:r>
            <w:r w:rsidR="00031115" w:rsidRPr="009D3774">
              <w:t xml:space="preserve"> IIS</w:t>
            </w:r>
            <w:r w:rsidR="00031115">
              <w:t>7</w:t>
            </w:r>
          </w:p>
        </w:tc>
        <w:tc>
          <w:tcPr>
            <w:tcW w:w="1440" w:type="dxa"/>
            <w:vAlign w:val="center"/>
          </w:tcPr>
          <w:p w:rsidR="00641B83" w:rsidRDefault="00031115">
            <w:pPr>
              <w:pStyle w:val="Text"/>
              <w:jc w:val="center"/>
            </w:pPr>
            <w:r>
              <w:t>20 active clients</w:t>
            </w:r>
          </w:p>
        </w:tc>
        <w:tc>
          <w:tcPr>
            <w:tcW w:w="1350" w:type="dxa"/>
            <w:vAlign w:val="center"/>
          </w:tcPr>
          <w:p w:rsidR="00641B83" w:rsidRDefault="00031115">
            <w:pPr>
              <w:pStyle w:val="Text"/>
              <w:jc w:val="center"/>
            </w:pPr>
            <w:r w:rsidRPr="009D3774">
              <w:t>500.10</w:t>
            </w:r>
          </w:p>
        </w:tc>
        <w:tc>
          <w:tcPr>
            <w:tcW w:w="1530" w:type="dxa"/>
            <w:vAlign w:val="center"/>
          </w:tcPr>
          <w:p w:rsidR="00641B83" w:rsidRDefault="00031115">
            <w:pPr>
              <w:pStyle w:val="Text"/>
              <w:jc w:val="center"/>
            </w:pPr>
            <w:r w:rsidRPr="009D3774">
              <w:t>4,383.88</w:t>
            </w:r>
          </w:p>
        </w:tc>
        <w:tc>
          <w:tcPr>
            <w:tcW w:w="1440" w:type="dxa"/>
            <w:vAlign w:val="center"/>
          </w:tcPr>
          <w:p w:rsidR="00641B83" w:rsidRDefault="00031115">
            <w:pPr>
              <w:pStyle w:val="Text"/>
              <w:jc w:val="center"/>
            </w:pPr>
            <w:r w:rsidRPr="009D3774">
              <w:t>$400.69</w:t>
            </w:r>
          </w:p>
        </w:tc>
        <w:tc>
          <w:tcPr>
            <w:tcW w:w="1980" w:type="dxa"/>
            <w:vAlign w:val="center"/>
          </w:tcPr>
          <w:p w:rsidR="00641B83" w:rsidRDefault="000C6BA1">
            <w:pPr>
              <w:pStyle w:val="Text"/>
              <w:jc w:val="center"/>
              <w:rPr>
                <w:b/>
                <w:kern w:val="24"/>
                <w:sz w:val="36"/>
              </w:rPr>
            </w:pPr>
            <w:r>
              <w:t>3,408</w:t>
            </w:r>
          </w:p>
        </w:tc>
      </w:tr>
    </w:tbl>
    <w:p w:rsidR="00D770B1" w:rsidRDefault="00163D66" w:rsidP="00163D66">
      <w:pPr>
        <w:pStyle w:val="Caption"/>
      </w:pPr>
      <w:r>
        <w:t xml:space="preserve">Figure </w:t>
      </w:r>
      <w:r w:rsidR="0023106A">
        <w:fldChar w:fldCharType="begin"/>
      </w:r>
      <w:r>
        <w:instrText xml:space="preserve"> SEQ Figure \* ARABIC </w:instrText>
      </w:r>
      <w:r w:rsidR="0023106A">
        <w:fldChar w:fldCharType="separate"/>
      </w:r>
      <w:r w:rsidR="002F0751">
        <w:rPr>
          <w:noProof/>
        </w:rPr>
        <w:t>3</w:t>
      </w:r>
      <w:r w:rsidR="0023106A">
        <w:fldChar w:fldCharType="end"/>
      </w:r>
      <w:r>
        <w:t>:</w:t>
      </w:r>
      <w:r w:rsidR="00D770B1">
        <w:t xml:space="preserve"> Measured results converted to</w:t>
      </w:r>
      <w:r w:rsidR="00AD4839">
        <w:t xml:space="preserve"> estimated</w:t>
      </w:r>
      <w:r w:rsidR="00D770B1">
        <w:t xml:space="preserve"> per-year costs and equivalences for </w:t>
      </w:r>
      <w:r w:rsidR="00D770B1" w:rsidRPr="002219CA">
        <w:t>Windows Server 2003</w:t>
      </w:r>
      <w:r w:rsidR="00D770B1">
        <w:t xml:space="preserve"> </w:t>
      </w:r>
      <w:r w:rsidR="00D770B1" w:rsidRPr="002219CA">
        <w:t>and Windows Server 2008.</w:t>
      </w:r>
      <w:r w:rsidR="00D770B1">
        <w:t xml:space="preserve"> </w:t>
      </w:r>
    </w:p>
    <w:p w:rsidR="00922548" w:rsidRPr="00922548" w:rsidRDefault="00922548" w:rsidP="00922548">
      <w:pPr>
        <w:pStyle w:val="Text"/>
      </w:pPr>
    </w:p>
    <w:p w:rsidR="00E63013" w:rsidRDefault="00E63013" w:rsidP="00E63013">
      <w:pPr>
        <w:pStyle w:val="Heading4"/>
      </w:pPr>
      <w:bookmarkStart w:id="8" w:name="_Toc200357133"/>
      <w:bookmarkEnd w:id="6"/>
      <w:bookmarkEnd w:id="7"/>
      <w:r>
        <w:t>Saving Power through Virtualization</w:t>
      </w:r>
      <w:bookmarkEnd w:id="8"/>
      <w:r>
        <w:t xml:space="preserve"> </w:t>
      </w:r>
    </w:p>
    <w:p w:rsidR="00E63013" w:rsidRDefault="00E63013" w:rsidP="00E63013">
      <w:pPr>
        <w:pStyle w:val="Text"/>
      </w:pPr>
      <w:r>
        <w:t xml:space="preserve">Each traditional physical server in an organization’s infrastructure creates a guaranteed minimum power usage overhead, dictated by the power supply, physical devices like hard disks connected to the server, cooling requirements, and other factors. This can consume </w:t>
      </w:r>
      <w:r w:rsidR="00E353F4">
        <w:t xml:space="preserve">60 </w:t>
      </w:r>
      <w:r>
        <w:t xml:space="preserve">percent or more of the </w:t>
      </w:r>
      <w:r w:rsidR="0003219A">
        <w:t xml:space="preserve">server’s </w:t>
      </w:r>
      <w:r>
        <w:t>maximum power</w:t>
      </w:r>
      <w:r w:rsidR="00F23A65">
        <w:t>-</w:t>
      </w:r>
      <w:r w:rsidR="0003219A">
        <w:t>draw</w:t>
      </w:r>
      <w:r w:rsidR="00B56246">
        <w:t>,</w:t>
      </w:r>
      <w:r>
        <w:t xml:space="preserve"> even when the server is idle. </w:t>
      </w:r>
      <w:r w:rsidR="00111F89">
        <w:t>However,</w:t>
      </w:r>
      <w:r w:rsidRPr="00DB28F0">
        <w:t xml:space="preserve"> servers </w:t>
      </w:r>
      <w:r w:rsidR="00B56246">
        <w:t xml:space="preserve">typically </w:t>
      </w:r>
      <w:r w:rsidRPr="00DB28F0">
        <w:t>run at far below their c</w:t>
      </w:r>
      <w:r>
        <w:t>apacity and</w:t>
      </w:r>
      <w:r w:rsidR="005F5884">
        <w:t xml:space="preserve"> on average</w:t>
      </w:r>
      <w:r>
        <w:t xml:space="preserve"> only utilize 5 to 15 percent </w:t>
      </w:r>
      <w:r w:rsidRPr="00DB28F0">
        <w:t xml:space="preserve">of the actual </w:t>
      </w:r>
      <w:r>
        <w:t>CPU</w:t>
      </w:r>
      <w:r w:rsidRPr="00DB28F0">
        <w:t xml:space="preserve"> capabilities.</w:t>
      </w:r>
      <w:r w:rsidR="006805B9">
        <w:rPr>
          <w:rStyle w:val="FootnoteReference"/>
        </w:rPr>
        <w:footnoteReference w:id="7"/>
      </w:r>
      <w:r w:rsidRPr="00DB28F0">
        <w:t xml:space="preserve"> This low asset utilization is a problem created by </w:t>
      </w:r>
      <w:r w:rsidR="00B56246">
        <w:t>a</w:t>
      </w:r>
      <w:r w:rsidR="00B56246" w:rsidRPr="00DB28F0">
        <w:t xml:space="preserve"> </w:t>
      </w:r>
      <w:r w:rsidR="00E353F4">
        <w:t xml:space="preserve">number of factors, such as </w:t>
      </w:r>
      <w:r w:rsidRPr="00DB28F0">
        <w:t xml:space="preserve">lack of flexibility in utilizing computing resources and the difficulty </w:t>
      </w:r>
      <w:r w:rsidR="00B56246">
        <w:t>of</w:t>
      </w:r>
      <w:r w:rsidR="00B56246" w:rsidRPr="00DB28F0">
        <w:t xml:space="preserve"> </w:t>
      </w:r>
      <w:r w:rsidRPr="00DB28F0">
        <w:t xml:space="preserve">estimating how much capacity </w:t>
      </w:r>
      <w:r w:rsidR="00B56246">
        <w:t>will be needed</w:t>
      </w:r>
      <w:r w:rsidRPr="00DB28F0">
        <w:t>. Traditionally, most organization</w:t>
      </w:r>
      <w:r>
        <w:t>s</w:t>
      </w:r>
      <w:r w:rsidRPr="00DB28F0">
        <w:t xml:space="preserve"> allocate </w:t>
      </w:r>
      <w:r w:rsidR="00B56246">
        <w:t>processing power, storage, and memory</w:t>
      </w:r>
      <w:r w:rsidR="00B56246" w:rsidRPr="00DB28F0">
        <w:t xml:space="preserve"> </w:t>
      </w:r>
      <w:r w:rsidRPr="00DB28F0">
        <w:t xml:space="preserve">resources </w:t>
      </w:r>
      <w:r w:rsidR="00583508">
        <w:t>in order</w:t>
      </w:r>
      <w:r w:rsidRPr="00DB28F0">
        <w:t xml:space="preserve"> to handle anticipated peak loads and unanticipated usage spikes</w:t>
      </w:r>
      <w:r w:rsidR="00B56246">
        <w:t>,</w:t>
      </w:r>
      <w:r w:rsidR="00F12A5B">
        <w:t xml:space="preserve"> </w:t>
      </w:r>
      <w:r w:rsidRPr="00DB28F0">
        <w:t xml:space="preserve">rather than </w:t>
      </w:r>
      <w:r w:rsidR="00F12A5B">
        <w:t>for</w:t>
      </w:r>
      <w:r w:rsidRPr="00DB28F0">
        <w:t xml:space="preserve"> normal operating </w:t>
      </w:r>
      <w:r w:rsidR="00031115" w:rsidRPr="00DB28F0">
        <w:t>requirements</w:t>
      </w:r>
      <w:r w:rsidR="00031115">
        <w:t xml:space="preserve"> resulting</w:t>
      </w:r>
      <w:r w:rsidR="00583508">
        <w:t xml:space="preserve"> in an excess of capacity during periods of normal operation</w:t>
      </w:r>
      <w:r w:rsidRPr="00DB28F0">
        <w:t xml:space="preserve">. </w:t>
      </w:r>
      <w:r w:rsidR="00583508">
        <w:t>In addition, w</w:t>
      </w:r>
      <w:r>
        <w:t xml:space="preserve">hen buying servers, a company may buy more processing power than needed because its choices are limited; </w:t>
      </w:r>
      <w:r w:rsidR="00F12A5B">
        <w:t>for example</w:t>
      </w:r>
      <w:r>
        <w:t xml:space="preserve">, </w:t>
      </w:r>
      <w:r w:rsidR="00E353F4">
        <w:t xml:space="preserve">less powerful </w:t>
      </w:r>
      <w:r>
        <w:t xml:space="preserve">processors </w:t>
      </w:r>
      <w:r w:rsidR="00F12A5B">
        <w:t xml:space="preserve">may </w:t>
      </w:r>
      <w:r>
        <w:t xml:space="preserve">no longer </w:t>
      </w:r>
      <w:r w:rsidR="00F12A5B">
        <w:t xml:space="preserve">be </w:t>
      </w:r>
      <w:r w:rsidR="00FA7D63">
        <w:t>available</w:t>
      </w:r>
      <w:r w:rsidR="00F12A5B">
        <w:t>,</w:t>
      </w:r>
      <w:r>
        <w:t xml:space="preserve"> or local policy dictates minimum requirement</w:t>
      </w:r>
      <w:r w:rsidR="00F12A5B">
        <w:t>s</w:t>
      </w:r>
      <w:r>
        <w:t xml:space="preserve"> for the organization. </w:t>
      </w:r>
      <w:r w:rsidRPr="00DB28F0">
        <w:t xml:space="preserve">The result is </w:t>
      </w:r>
      <w:r w:rsidR="00F12A5B">
        <w:t xml:space="preserve">an excess of capacity that </w:t>
      </w:r>
      <w:r w:rsidR="00B57E72">
        <w:t xml:space="preserve">is effectively </w:t>
      </w:r>
      <w:r w:rsidR="00F12A5B">
        <w:t>wasted during periods of normal operation</w:t>
      </w:r>
      <w:r w:rsidRPr="00DB28F0">
        <w:t xml:space="preserve">. </w:t>
      </w:r>
    </w:p>
    <w:p w:rsidR="00B57E72" w:rsidRDefault="00E63013" w:rsidP="00E63013">
      <w:pPr>
        <w:pStyle w:val="Text"/>
      </w:pPr>
      <w:r w:rsidRPr="00DB28F0">
        <w:t xml:space="preserve">Such </w:t>
      </w:r>
      <w:r w:rsidR="00F12A5B">
        <w:t>scenarios</w:t>
      </w:r>
      <w:r w:rsidR="00F12A5B" w:rsidRPr="00DB28F0">
        <w:t xml:space="preserve"> </w:t>
      </w:r>
      <w:r w:rsidRPr="00DB28F0">
        <w:t xml:space="preserve">are </w:t>
      </w:r>
      <w:r w:rsidR="00F12A5B">
        <w:t>idea</w:t>
      </w:r>
      <w:r w:rsidR="00F87EC3">
        <w:t>l</w:t>
      </w:r>
      <w:r w:rsidR="00F12A5B" w:rsidRPr="00DB28F0">
        <w:t xml:space="preserve"> </w:t>
      </w:r>
      <w:r w:rsidRPr="00DB28F0">
        <w:t xml:space="preserve">candidates for consolidation using </w:t>
      </w:r>
      <w:r>
        <w:t xml:space="preserve">Hyper-V, </w:t>
      </w:r>
      <w:r w:rsidRPr="008C15B9">
        <w:t>the hypervi</w:t>
      </w:r>
      <w:r w:rsidR="00F23A65">
        <w:t>sor-based virtualization technology</w:t>
      </w:r>
      <w:r w:rsidRPr="008C15B9">
        <w:t xml:space="preserve"> included as a role of Windows S</w:t>
      </w:r>
      <w:r>
        <w:t>erver 2008</w:t>
      </w:r>
      <w:r w:rsidRPr="00DB28F0">
        <w:t xml:space="preserve">. </w:t>
      </w:r>
      <w:r>
        <w:t>Hyper-V extends virtualization capability</w:t>
      </w:r>
      <w:r w:rsidR="00B57E72">
        <w:t xml:space="preserve"> in a number of ways, including:</w:t>
      </w:r>
    </w:p>
    <w:p w:rsidR="00641B83" w:rsidRDefault="00B57E72" w:rsidP="00282190">
      <w:pPr>
        <w:pStyle w:val="BulletedList1"/>
        <w:tabs>
          <w:tab w:val="clear" w:pos="360"/>
          <w:tab w:val="num" w:pos="540"/>
        </w:tabs>
        <w:ind w:left="540"/>
      </w:pPr>
      <w:r>
        <w:t>Allowing management of</w:t>
      </w:r>
      <w:r w:rsidR="00E63013">
        <w:t xml:space="preserve"> 64-bit </w:t>
      </w:r>
      <w:r w:rsidR="00F12A5B">
        <w:t>virtual machines</w:t>
      </w:r>
      <w:r w:rsidR="00E63013">
        <w:t xml:space="preserve"> alongside 32-bit </w:t>
      </w:r>
      <w:r w:rsidR="00F12A5B">
        <w:t>virtual machines</w:t>
      </w:r>
      <w:r>
        <w:t>.</w:t>
      </w:r>
      <w:r w:rsidR="00E63013">
        <w:t xml:space="preserve"> </w:t>
      </w:r>
    </w:p>
    <w:p w:rsidR="00641B83" w:rsidRDefault="00B57E72" w:rsidP="00282190">
      <w:pPr>
        <w:pStyle w:val="BulletedList1"/>
        <w:tabs>
          <w:tab w:val="clear" w:pos="360"/>
          <w:tab w:val="num" w:pos="540"/>
        </w:tabs>
        <w:ind w:left="540"/>
      </w:pPr>
      <w:r>
        <w:t xml:space="preserve">Enabling </w:t>
      </w:r>
      <w:r w:rsidR="00F12A5B">
        <w:t>virtual machines</w:t>
      </w:r>
      <w:r w:rsidR="00E63013">
        <w:t xml:space="preserve"> to access larger amounts of memory</w:t>
      </w:r>
      <w:r>
        <w:t>.</w:t>
      </w:r>
      <w:r w:rsidR="00E63013">
        <w:t xml:space="preserve"> </w:t>
      </w:r>
    </w:p>
    <w:p w:rsidR="00641B83" w:rsidRDefault="00B57E72" w:rsidP="00282190">
      <w:pPr>
        <w:pStyle w:val="BulletedList1"/>
        <w:tabs>
          <w:tab w:val="clear" w:pos="360"/>
          <w:tab w:val="num" w:pos="540"/>
        </w:tabs>
        <w:ind w:left="540"/>
      </w:pPr>
      <w:r>
        <w:lastRenderedPageBreak/>
        <w:t xml:space="preserve">Permitting </w:t>
      </w:r>
      <w:r w:rsidR="00F12A5B">
        <w:t>virtual machines</w:t>
      </w:r>
      <w:r w:rsidR="00E63013">
        <w:t xml:space="preserve"> to leverage multiple processors. </w:t>
      </w:r>
    </w:p>
    <w:p w:rsidR="00B71A59" w:rsidRDefault="00E63013" w:rsidP="00B57E72">
      <w:pPr>
        <w:pStyle w:val="Text"/>
      </w:pPr>
      <w:r>
        <w:t>Virtualization is a key feature of the operating system and helps customers</w:t>
      </w:r>
      <w:r w:rsidR="00B71A59">
        <w:t xml:space="preserve"> benefit from server consolidation by</w:t>
      </w:r>
      <w:r>
        <w:t xml:space="preserve"> achiev</w:t>
      </w:r>
      <w:r w:rsidR="00B71A59">
        <w:t>ing</w:t>
      </w:r>
      <w:r>
        <w:t xml:space="preserve"> </w:t>
      </w:r>
      <w:r w:rsidR="00F12A5B">
        <w:t>isolation between virtual machines</w:t>
      </w:r>
      <w:r w:rsidRPr="006551B0">
        <w:t>.</w:t>
      </w:r>
      <w:r w:rsidR="00606466">
        <w:t xml:space="preserve"> </w:t>
      </w:r>
    </w:p>
    <w:p w:rsidR="00E63013" w:rsidRPr="006551B0" w:rsidRDefault="00B71A59" w:rsidP="00C4224D">
      <w:pPr>
        <w:pStyle w:val="Text"/>
      </w:pPr>
      <w:r>
        <w:t xml:space="preserve">Hyper-V is available in </w:t>
      </w:r>
      <w:r w:rsidR="00C4224D">
        <w:t xml:space="preserve">the </w:t>
      </w:r>
      <w:r>
        <w:t>Standard, Enterprise, and Datacenter editions of Windows Server 2008</w:t>
      </w:r>
      <w:r w:rsidR="00C4224D">
        <w:t>. Each edition includes the right to run a different number of simultaneous virtual machine</w:t>
      </w:r>
      <w:r w:rsidR="00785D8D">
        <w:t>s out-of-the-</w:t>
      </w:r>
      <w:r w:rsidR="00C4224D">
        <w:t>box: one on Windows Server 2008 Standard, four on Windows Server 2008 Enterprise, and an unlimited number on Windows Server 2008 Datacenter. Additional licenses can also be purchased and added to a Standard or Enterprise installation at any time.</w:t>
      </w:r>
    </w:p>
    <w:p w:rsidR="00361666" w:rsidRPr="00E7034F" w:rsidRDefault="00E63013" w:rsidP="00E63013">
      <w:pPr>
        <w:pStyle w:val="Text"/>
      </w:pPr>
      <w:r w:rsidRPr="006551B0">
        <w:t xml:space="preserve">To quantify the power savings made possible by virtualization, </w:t>
      </w:r>
      <w:r w:rsidR="00BD598F" w:rsidRPr="006551B0">
        <w:t>Microsoft</w:t>
      </w:r>
      <w:r w:rsidR="00E42DC7" w:rsidRPr="006551B0">
        <w:t xml:space="preserve"> conducted </w:t>
      </w:r>
      <w:r w:rsidR="00785D8D">
        <w:t xml:space="preserve">a series of </w:t>
      </w:r>
      <w:r w:rsidR="00E42DC7" w:rsidRPr="006551B0">
        <w:t xml:space="preserve">power usage tests on standalone servers and Hyper-V servers </w:t>
      </w:r>
      <w:r w:rsidR="00BD598F" w:rsidRPr="006551B0">
        <w:t>hosting</w:t>
      </w:r>
      <w:r w:rsidR="00E42DC7" w:rsidRPr="006551B0">
        <w:t xml:space="preserve"> multiple virtual machines</w:t>
      </w:r>
      <w:r w:rsidR="00F95914">
        <w:t>,</w:t>
      </w:r>
      <w:r w:rsidR="00E42DC7" w:rsidRPr="006551B0">
        <w:t xml:space="preserve"> and compared the results. </w:t>
      </w:r>
      <w:r w:rsidR="00361666" w:rsidRPr="006551B0">
        <w:t>The configurations and test scenarios used for this paper are for illustrative purposes only, and are not meant to be recommendations for your</w:t>
      </w:r>
      <w:r w:rsidR="00B57E72">
        <w:t xml:space="preserve"> specific</w:t>
      </w:r>
      <w:r w:rsidR="00361666" w:rsidRPr="006551B0">
        <w:t xml:space="preserve"> environment. </w:t>
      </w:r>
      <w:r w:rsidR="009E7274" w:rsidRPr="006551B0">
        <w:t>Different</w:t>
      </w:r>
      <w:r w:rsidR="00361666" w:rsidRPr="006551B0">
        <w:t xml:space="preserve"> server</w:t>
      </w:r>
      <w:r w:rsidR="009E7274" w:rsidRPr="006551B0">
        <w:t xml:space="preserve"> roles </w:t>
      </w:r>
      <w:r w:rsidR="00B57E72">
        <w:t>may</w:t>
      </w:r>
      <w:r w:rsidR="00B57E72" w:rsidRPr="006551B0">
        <w:t xml:space="preserve"> </w:t>
      </w:r>
      <w:r w:rsidR="009E7274" w:rsidRPr="006551B0">
        <w:t xml:space="preserve">require different resources. For example, memory would be the </w:t>
      </w:r>
      <w:r w:rsidR="009E7274" w:rsidRPr="00E7034F">
        <w:t xml:space="preserve">key resource needed for </w:t>
      </w:r>
      <w:r w:rsidR="00B57E72">
        <w:t>a web workload</w:t>
      </w:r>
      <w:r w:rsidR="009E7274" w:rsidRPr="00E7034F">
        <w:t xml:space="preserve">, while disk capacity might be more important for file services or SQL. </w:t>
      </w:r>
      <w:r w:rsidR="00361666" w:rsidRPr="00E7034F">
        <w:t>It pays</w:t>
      </w:r>
      <w:r w:rsidR="009E7274" w:rsidRPr="00E7034F">
        <w:t xml:space="preserve"> to profile your </w:t>
      </w:r>
      <w:r w:rsidR="00361666" w:rsidRPr="00E7034F">
        <w:t xml:space="preserve">own </w:t>
      </w:r>
      <w:r w:rsidR="009E7274" w:rsidRPr="00E7034F">
        <w:t xml:space="preserve">systems and the services you hope to provide before you </w:t>
      </w:r>
      <w:r w:rsidR="00361666" w:rsidRPr="00E7034F">
        <w:t>adopt any particular configuration.</w:t>
      </w:r>
    </w:p>
    <w:p w:rsidR="00315F30" w:rsidRDefault="005938E8">
      <w:pPr>
        <w:pStyle w:val="Text"/>
      </w:pPr>
      <w:r>
        <w:t>For</w:t>
      </w:r>
      <w:r w:rsidR="002D1C85" w:rsidRPr="006551B0">
        <w:t xml:space="preserve"> </w:t>
      </w:r>
      <w:r w:rsidR="00315F30">
        <w:t>these tests</w:t>
      </w:r>
      <w:r w:rsidR="002D1C85" w:rsidRPr="006551B0">
        <w:t xml:space="preserve">, </w:t>
      </w:r>
      <w:r w:rsidR="0011023C">
        <w:t>Windows Server 2008 with the Hyper-V role was installed on the</w:t>
      </w:r>
      <w:r w:rsidR="002D1C85" w:rsidRPr="006551B0">
        <w:t xml:space="preserve"> enterprise-class server</w:t>
      </w:r>
      <w:r w:rsidR="0011023C">
        <w:t xml:space="preserve"> used in the previously referenced tests, </w:t>
      </w:r>
      <w:r w:rsidR="00FB6DDE">
        <w:t>and configured with 4 virtual machines, each running Windows Server 2008 and IIS7. Each individual virtual machine was simultaneously subjected to a load generated by 20 active clients, and the power consumption of the physical server was monitored.</w:t>
      </w:r>
      <w:r w:rsidR="00D527CA">
        <w:t xml:space="preserve"> The test was then repeated with 10 virtual machines running simultaneously.</w:t>
      </w:r>
      <w:r>
        <w:t xml:space="preserve"> Figure </w:t>
      </w:r>
      <w:r w:rsidR="006F2319">
        <w:t>4</w:t>
      </w:r>
      <w:r>
        <w:t xml:space="preserve"> shows the results</w:t>
      </w:r>
      <w:r w:rsidR="00D527CA">
        <w:t>, along with the results of the standalone tests discussed earlier for comparison purposes</w:t>
      </w:r>
      <w:r>
        <w:t>.</w:t>
      </w:r>
      <w:r w:rsidR="002A44C0">
        <w:t xml:space="preserve"> (For test results, see Appendix </w:t>
      </w:r>
      <w:proofErr w:type="gramStart"/>
      <w:r w:rsidR="002A44C0">
        <w:t>A</w:t>
      </w:r>
      <w:proofErr w:type="gramEnd"/>
      <w:r w:rsidR="002A44C0">
        <w:t xml:space="preserve">, Test Results Spreadsheet, Tabs </w:t>
      </w:r>
      <w:r w:rsidR="001F66B8">
        <w:t>4</w:t>
      </w:r>
      <w:r w:rsidR="002A44C0">
        <w:t>-7.)</w:t>
      </w:r>
    </w:p>
    <w:p w:rsidR="00282190" w:rsidRDefault="00282190">
      <w:pPr>
        <w:pStyle w:val="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3"/>
        <w:gridCol w:w="1438"/>
        <w:gridCol w:w="1306"/>
        <w:gridCol w:w="1391"/>
        <w:gridCol w:w="1170"/>
        <w:gridCol w:w="1440"/>
      </w:tblGrid>
      <w:tr w:rsidR="005938E8" w:rsidRPr="009D3774" w:rsidTr="005938E8">
        <w:trPr>
          <w:trHeight w:val="332"/>
        </w:trPr>
        <w:tc>
          <w:tcPr>
            <w:tcW w:w="2811" w:type="dxa"/>
            <w:gridSpan w:val="2"/>
            <w:vAlign w:val="center"/>
          </w:tcPr>
          <w:p w:rsidR="005938E8" w:rsidRPr="009D3774" w:rsidRDefault="005938E8" w:rsidP="005938E8">
            <w:pPr>
              <w:pStyle w:val="Text"/>
              <w:keepNext/>
              <w:keepLines/>
              <w:jc w:val="center"/>
              <w:rPr>
                <w:b/>
              </w:rPr>
            </w:pPr>
            <w:r>
              <w:rPr>
                <w:b/>
              </w:rPr>
              <w:t>IIS Server</w:t>
            </w:r>
          </w:p>
        </w:tc>
        <w:tc>
          <w:tcPr>
            <w:tcW w:w="1306" w:type="dxa"/>
            <w:vAlign w:val="center"/>
          </w:tcPr>
          <w:p w:rsidR="005938E8" w:rsidRPr="009D3774" w:rsidRDefault="005938E8" w:rsidP="005938E8">
            <w:pPr>
              <w:pStyle w:val="Text"/>
              <w:keepNext/>
              <w:keepLines/>
              <w:jc w:val="center"/>
              <w:rPr>
                <w:b/>
              </w:rPr>
            </w:pPr>
            <w:r w:rsidRPr="009D3774">
              <w:rPr>
                <w:b/>
              </w:rPr>
              <w:t>Measured</w:t>
            </w:r>
          </w:p>
        </w:tc>
        <w:tc>
          <w:tcPr>
            <w:tcW w:w="4001" w:type="dxa"/>
            <w:gridSpan w:val="3"/>
            <w:vAlign w:val="center"/>
          </w:tcPr>
          <w:p w:rsidR="005938E8" w:rsidRPr="009D3774" w:rsidRDefault="005938E8" w:rsidP="005938E8">
            <w:pPr>
              <w:pStyle w:val="Text"/>
              <w:keepNext/>
              <w:keepLines/>
              <w:jc w:val="center"/>
              <w:rPr>
                <w:b/>
              </w:rPr>
            </w:pPr>
            <w:r w:rsidRPr="009D3774">
              <w:rPr>
                <w:b/>
              </w:rPr>
              <w:t>Projected</w:t>
            </w:r>
          </w:p>
        </w:tc>
      </w:tr>
      <w:tr w:rsidR="005938E8" w:rsidRPr="009D3774" w:rsidTr="00282190">
        <w:trPr>
          <w:trHeight w:val="1025"/>
        </w:trPr>
        <w:tc>
          <w:tcPr>
            <w:tcW w:w="1373" w:type="dxa"/>
            <w:vAlign w:val="center"/>
          </w:tcPr>
          <w:p w:rsidR="005938E8" w:rsidRPr="009D3774" w:rsidRDefault="00785D8D" w:rsidP="005938E8">
            <w:pPr>
              <w:pStyle w:val="Text"/>
              <w:keepNext/>
              <w:keepLines/>
              <w:jc w:val="center"/>
              <w:rPr>
                <w:b/>
              </w:rPr>
            </w:pPr>
            <w:r>
              <w:rPr>
                <w:b/>
              </w:rPr>
              <w:t>Server S</w:t>
            </w:r>
            <w:r w:rsidR="005938E8" w:rsidRPr="009D3774">
              <w:rPr>
                <w:b/>
              </w:rPr>
              <w:t>etup</w:t>
            </w:r>
          </w:p>
        </w:tc>
        <w:tc>
          <w:tcPr>
            <w:tcW w:w="1438" w:type="dxa"/>
            <w:vAlign w:val="center"/>
          </w:tcPr>
          <w:p w:rsidR="005938E8" w:rsidRPr="009D3774" w:rsidRDefault="00785D8D" w:rsidP="005938E8">
            <w:pPr>
              <w:pStyle w:val="Text"/>
              <w:keepNext/>
              <w:keepLines/>
              <w:jc w:val="center"/>
              <w:rPr>
                <w:b/>
              </w:rPr>
            </w:pPr>
            <w:r>
              <w:rPr>
                <w:b/>
              </w:rPr>
              <w:t>Processing L</w:t>
            </w:r>
            <w:r w:rsidR="005938E8" w:rsidRPr="009D3774">
              <w:rPr>
                <w:b/>
              </w:rPr>
              <w:t>oad</w:t>
            </w:r>
          </w:p>
        </w:tc>
        <w:tc>
          <w:tcPr>
            <w:tcW w:w="1306" w:type="dxa"/>
            <w:vAlign w:val="center"/>
          </w:tcPr>
          <w:p w:rsidR="005938E8" w:rsidRPr="009D3774" w:rsidRDefault="00785D8D" w:rsidP="005938E8">
            <w:pPr>
              <w:pStyle w:val="Text"/>
              <w:keepNext/>
              <w:keepLines/>
              <w:jc w:val="center"/>
              <w:rPr>
                <w:b/>
              </w:rPr>
            </w:pPr>
            <w:r>
              <w:rPr>
                <w:b/>
              </w:rPr>
              <w:t>Average W</w:t>
            </w:r>
            <w:r w:rsidR="005938E8" w:rsidRPr="009D3774">
              <w:rPr>
                <w:b/>
              </w:rPr>
              <w:t>atts</w:t>
            </w:r>
          </w:p>
        </w:tc>
        <w:tc>
          <w:tcPr>
            <w:tcW w:w="1391" w:type="dxa"/>
            <w:vAlign w:val="center"/>
          </w:tcPr>
          <w:p w:rsidR="005938E8" w:rsidRPr="009D3774" w:rsidRDefault="00785D8D" w:rsidP="00785D8D">
            <w:pPr>
              <w:pStyle w:val="Text"/>
              <w:keepNext/>
              <w:keepLines/>
              <w:jc w:val="center"/>
              <w:rPr>
                <w:b/>
              </w:rPr>
            </w:pPr>
            <w:r>
              <w:rPr>
                <w:b/>
              </w:rPr>
              <w:t>kWh per Y</w:t>
            </w:r>
            <w:r w:rsidR="005938E8" w:rsidRPr="009D3774">
              <w:rPr>
                <w:b/>
              </w:rPr>
              <w:t>ear</w:t>
            </w:r>
          </w:p>
        </w:tc>
        <w:tc>
          <w:tcPr>
            <w:tcW w:w="1170" w:type="dxa"/>
            <w:vAlign w:val="center"/>
          </w:tcPr>
          <w:p w:rsidR="005938E8" w:rsidRPr="009D3774" w:rsidRDefault="005938E8" w:rsidP="005938E8">
            <w:pPr>
              <w:pStyle w:val="Text"/>
              <w:keepNext/>
              <w:keepLines/>
              <w:jc w:val="center"/>
              <w:rPr>
                <w:b/>
              </w:rPr>
            </w:pPr>
            <w:r w:rsidRPr="009D3774">
              <w:rPr>
                <w:b/>
              </w:rPr>
              <w:t>Cost</w:t>
            </w:r>
          </w:p>
        </w:tc>
        <w:tc>
          <w:tcPr>
            <w:tcW w:w="1440" w:type="dxa"/>
            <w:vAlign w:val="center"/>
          </w:tcPr>
          <w:p w:rsidR="005938E8" w:rsidRPr="009D3774" w:rsidRDefault="00232D9E" w:rsidP="005938E8">
            <w:pPr>
              <w:pStyle w:val="Text"/>
              <w:keepNext/>
              <w:keepLines/>
              <w:jc w:val="center"/>
              <w:rPr>
                <w:b/>
              </w:rPr>
            </w:pPr>
            <w:r>
              <w:rPr>
                <w:b/>
              </w:rPr>
              <w:t>Kilograms</w:t>
            </w:r>
            <w:r w:rsidRPr="009D3774">
              <w:rPr>
                <w:b/>
              </w:rPr>
              <w:t xml:space="preserve"> </w:t>
            </w:r>
            <w:r w:rsidR="005938E8" w:rsidRPr="009D3774">
              <w:rPr>
                <w:b/>
              </w:rPr>
              <w:t>of CO</w:t>
            </w:r>
            <w:r w:rsidR="005938E8" w:rsidRPr="009D3774">
              <w:rPr>
                <w:b/>
                <w:vertAlign w:val="subscript"/>
              </w:rPr>
              <w:t>2</w:t>
            </w:r>
          </w:p>
        </w:tc>
      </w:tr>
      <w:tr w:rsidR="000C6BA1" w:rsidRPr="009D3774" w:rsidTr="00412ABF">
        <w:tc>
          <w:tcPr>
            <w:tcW w:w="1373" w:type="dxa"/>
            <w:vAlign w:val="center"/>
          </w:tcPr>
          <w:p w:rsidR="000C6BA1" w:rsidRPr="009D3774" w:rsidRDefault="000C6BA1" w:rsidP="005938E8">
            <w:pPr>
              <w:pStyle w:val="Text"/>
            </w:pPr>
            <w:r w:rsidRPr="009D3774">
              <w:t>IIS6</w:t>
            </w:r>
            <w:r>
              <w:t xml:space="preserve"> x 1 standalone</w:t>
            </w:r>
          </w:p>
        </w:tc>
        <w:tc>
          <w:tcPr>
            <w:tcW w:w="1438" w:type="dxa"/>
            <w:vAlign w:val="center"/>
          </w:tcPr>
          <w:p w:rsidR="000C6BA1" w:rsidRPr="009D3774" w:rsidRDefault="000C6BA1" w:rsidP="005938E8">
            <w:pPr>
              <w:pStyle w:val="Text"/>
            </w:pPr>
            <w:r>
              <w:t>20 active clients</w:t>
            </w:r>
          </w:p>
        </w:tc>
        <w:tc>
          <w:tcPr>
            <w:tcW w:w="1306" w:type="dxa"/>
            <w:vAlign w:val="center"/>
          </w:tcPr>
          <w:p w:rsidR="00B92282" w:rsidRDefault="000C6BA1">
            <w:pPr>
              <w:pStyle w:val="Text"/>
              <w:jc w:val="center"/>
            </w:pPr>
            <w:r w:rsidRPr="009D3774">
              <w:t>536.66</w:t>
            </w:r>
          </w:p>
        </w:tc>
        <w:tc>
          <w:tcPr>
            <w:tcW w:w="1391" w:type="dxa"/>
            <w:vAlign w:val="center"/>
          </w:tcPr>
          <w:p w:rsidR="00B92282" w:rsidRDefault="000C6BA1">
            <w:pPr>
              <w:pStyle w:val="Text"/>
              <w:jc w:val="center"/>
            </w:pPr>
            <w:r w:rsidRPr="009D3774">
              <w:t>4,704.36</w:t>
            </w:r>
          </w:p>
        </w:tc>
        <w:tc>
          <w:tcPr>
            <w:tcW w:w="1170" w:type="dxa"/>
            <w:vAlign w:val="center"/>
          </w:tcPr>
          <w:p w:rsidR="00B92282" w:rsidRDefault="000C6BA1">
            <w:pPr>
              <w:pStyle w:val="Text"/>
              <w:jc w:val="center"/>
            </w:pPr>
            <w:r w:rsidRPr="009D3774">
              <w:t>$429.98</w:t>
            </w:r>
          </w:p>
        </w:tc>
        <w:tc>
          <w:tcPr>
            <w:tcW w:w="1440" w:type="dxa"/>
            <w:vAlign w:val="center"/>
          </w:tcPr>
          <w:p w:rsidR="00B92282" w:rsidRDefault="000C6BA1">
            <w:pPr>
              <w:pStyle w:val="Text"/>
              <w:jc w:val="center"/>
            </w:pPr>
            <w:r>
              <w:t>3,657</w:t>
            </w:r>
          </w:p>
        </w:tc>
      </w:tr>
      <w:tr w:rsidR="000C6BA1" w:rsidRPr="009D3774" w:rsidTr="00412ABF">
        <w:tc>
          <w:tcPr>
            <w:tcW w:w="1373" w:type="dxa"/>
            <w:vAlign w:val="center"/>
          </w:tcPr>
          <w:p w:rsidR="000C6BA1" w:rsidRDefault="000C6BA1" w:rsidP="005938E8">
            <w:pPr>
              <w:pStyle w:val="Text"/>
            </w:pPr>
            <w:r w:rsidRPr="009D3774">
              <w:t>IIS</w:t>
            </w:r>
            <w:r>
              <w:t>7 x 1</w:t>
            </w:r>
          </w:p>
          <w:p w:rsidR="000C6BA1" w:rsidRPr="009D3774" w:rsidRDefault="000C6BA1" w:rsidP="005938E8">
            <w:pPr>
              <w:pStyle w:val="Text"/>
            </w:pPr>
            <w:r>
              <w:t>standalone</w:t>
            </w:r>
          </w:p>
        </w:tc>
        <w:tc>
          <w:tcPr>
            <w:tcW w:w="1438" w:type="dxa"/>
            <w:vAlign w:val="center"/>
          </w:tcPr>
          <w:p w:rsidR="000C6BA1" w:rsidRPr="009D3774" w:rsidRDefault="000C6BA1" w:rsidP="005938E8">
            <w:pPr>
              <w:pStyle w:val="Text"/>
            </w:pPr>
            <w:r>
              <w:t xml:space="preserve">20 active clients </w:t>
            </w:r>
          </w:p>
        </w:tc>
        <w:tc>
          <w:tcPr>
            <w:tcW w:w="1306" w:type="dxa"/>
            <w:vAlign w:val="center"/>
          </w:tcPr>
          <w:p w:rsidR="00B92282" w:rsidRDefault="000C6BA1">
            <w:pPr>
              <w:pStyle w:val="Text"/>
              <w:jc w:val="center"/>
            </w:pPr>
            <w:r w:rsidRPr="009D3774">
              <w:t>500.10</w:t>
            </w:r>
          </w:p>
        </w:tc>
        <w:tc>
          <w:tcPr>
            <w:tcW w:w="1391" w:type="dxa"/>
            <w:vAlign w:val="center"/>
          </w:tcPr>
          <w:p w:rsidR="00B92282" w:rsidRDefault="000C6BA1">
            <w:pPr>
              <w:pStyle w:val="Text"/>
              <w:jc w:val="center"/>
            </w:pPr>
            <w:r w:rsidRPr="009D3774">
              <w:t>4,383.88</w:t>
            </w:r>
          </w:p>
        </w:tc>
        <w:tc>
          <w:tcPr>
            <w:tcW w:w="1170" w:type="dxa"/>
            <w:vAlign w:val="center"/>
          </w:tcPr>
          <w:p w:rsidR="00B92282" w:rsidRDefault="000C6BA1">
            <w:pPr>
              <w:pStyle w:val="Text"/>
              <w:jc w:val="center"/>
            </w:pPr>
            <w:r w:rsidRPr="009D3774">
              <w:t>$400.69</w:t>
            </w:r>
          </w:p>
        </w:tc>
        <w:tc>
          <w:tcPr>
            <w:tcW w:w="1440" w:type="dxa"/>
            <w:vAlign w:val="center"/>
          </w:tcPr>
          <w:p w:rsidR="00B92282" w:rsidRDefault="000C6BA1">
            <w:pPr>
              <w:pStyle w:val="Text"/>
              <w:jc w:val="center"/>
            </w:pPr>
            <w:r>
              <w:t>3,408</w:t>
            </w:r>
          </w:p>
        </w:tc>
      </w:tr>
      <w:tr w:rsidR="005938E8" w:rsidRPr="009D3774" w:rsidTr="00412ABF">
        <w:tc>
          <w:tcPr>
            <w:tcW w:w="1373" w:type="dxa"/>
            <w:vAlign w:val="center"/>
          </w:tcPr>
          <w:p w:rsidR="005938E8" w:rsidRPr="00C36F99" w:rsidRDefault="005938E8" w:rsidP="005938E8">
            <w:pPr>
              <w:pStyle w:val="Text"/>
            </w:pPr>
            <w:r w:rsidRPr="00C36F99">
              <w:t xml:space="preserve">Hyper-V IIS7 x 4 </w:t>
            </w:r>
            <w:r>
              <w:t>virtual machines</w:t>
            </w:r>
          </w:p>
        </w:tc>
        <w:tc>
          <w:tcPr>
            <w:tcW w:w="1438" w:type="dxa"/>
            <w:vAlign w:val="center"/>
          </w:tcPr>
          <w:p w:rsidR="005938E8" w:rsidRPr="009D3774" w:rsidRDefault="005938E8" w:rsidP="005938E8">
            <w:pPr>
              <w:pStyle w:val="Text"/>
            </w:pPr>
            <w:r>
              <w:t xml:space="preserve">20 </w:t>
            </w:r>
            <w:r w:rsidR="00B57E72">
              <w:t xml:space="preserve">active </w:t>
            </w:r>
            <w:r>
              <w:t>clients per IIS server</w:t>
            </w:r>
          </w:p>
        </w:tc>
        <w:tc>
          <w:tcPr>
            <w:tcW w:w="1306" w:type="dxa"/>
            <w:vAlign w:val="center"/>
          </w:tcPr>
          <w:p w:rsidR="00B92282" w:rsidRDefault="005938E8">
            <w:pPr>
              <w:pStyle w:val="Text"/>
              <w:jc w:val="center"/>
            </w:pPr>
            <w:r>
              <w:t>517.66</w:t>
            </w:r>
          </w:p>
        </w:tc>
        <w:tc>
          <w:tcPr>
            <w:tcW w:w="1391" w:type="dxa"/>
            <w:vAlign w:val="center"/>
          </w:tcPr>
          <w:p w:rsidR="00B92282" w:rsidRDefault="005938E8">
            <w:pPr>
              <w:pStyle w:val="Text"/>
              <w:jc w:val="center"/>
            </w:pPr>
            <w:r>
              <w:t>4,537.81</w:t>
            </w:r>
          </w:p>
        </w:tc>
        <w:tc>
          <w:tcPr>
            <w:tcW w:w="1170" w:type="dxa"/>
            <w:vAlign w:val="center"/>
          </w:tcPr>
          <w:p w:rsidR="00B92282" w:rsidRDefault="005938E8">
            <w:pPr>
              <w:pStyle w:val="Text"/>
              <w:jc w:val="center"/>
            </w:pPr>
            <w:r>
              <w:t>$414.76</w:t>
            </w:r>
          </w:p>
        </w:tc>
        <w:tc>
          <w:tcPr>
            <w:tcW w:w="1440" w:type="dxa"/>
            <w:vAlign w:val="center"/>
          </w:tcPr>
          <w:p w:rsidR="00B92282" w:rsidRDefault="000C6BA1">
            <w:pPr>
              <w:pStyle w:val="Text"/>
              <w:jc w:val="center"/>
            </w:pPr>
            <w:r w:rsidRPr="000C6BA1">
              <w:t>3,528</w:t>
            </w:r>
          </w:p>
        </w:tc>
      </w:tr>
      <w:tr w:rsidR="005938E8" w:rsidRPr="009D3774" w:rsidTr="00412ABF">
        <w:tc>
          <w:tcPr>
            <w:tcW w:w="1373" w:type="dxa"/>
            <w:vAlign w:val="center"/>
          </w:tcPr>
          <w:p w:rsidR="005938E8" w:rsidRPr="00C36F99" w:rsidRDefault="005938E8" w:rsidP="005938E8">
            <w:pPr>
              <w:pStyle w:val="Text"/>
            </w:pPr>
            <w:r w:rsidRPr="00C36F99">
              <w:t xml:space="preserve">Hyper-V IIS7 x 10 </w:t>
            </w:r>
            <w:r>
              <w:t>virtual machines</w:t>
            </w:r>
          </w:p>
        </w:tc>
        <w:tc>
          <w:tcPr>
            <w:tcW w:w="1438" w:type="dxa"/>
            <w:vAlign w:val="center"/>
          </w:tcPr>
          <w:p w:rsidR="005938E8" w:rsidRPr="009D3774" w:rsidRDefault="005938E8" w:rsidP="005938E8">
            <w:pPr>
              <w:pStyle w:val="Text"/>
            </w:pPr>
            <w:r>
              <w:t xml:space="preserve">20 </w:t>
            </w:r>
            <w:r w:rsidR="00B57E72">
              <w:t xml:space="preserve">active </w:t>
            </w:r>
            <w:r>
              <w:t>clients per IIS server</w:t>
            </w:r>
          </w:p>
        </w:tc>
        <w:tc>
          <w:tcPr>
            <w:tcW w:w="1306" w:type="dxa"/>
            <w:vAlign w:val="center"/>
          </w:tcPr>
          <w:p w:rsidR="00B92282" w:rsidRDefault="005938E8">
            <w:pPr>
              <w:pStyle w:val="Text"/>
              <w:jc w:val="center"/>
            </w:pPr>
            <w:r>
              <w:t>512.17</w:t>
            </w:r>
          </w:p>
        </w:tc>
        <w:tc>
          <w:tcPr>
            <w:tcW w:w="1391" w:type="dxa"/>
            <w:vAlign w:val="center"/>
          </w:tcPr>
          <w:p w:rsidR="00B92282" w:rsidRDefault="005938E8">
            <w:pPr>
              <w:pStyle w:val="Text"/>
              <w:jc w:val="center"/>
            </w:pPr>
            <w:r>
              <w:t>4,489.68</w:t>
            </w:r>
          </w:p>
        </w:tc>
        <w:tc>
          <w:tcPr>
            <w:tcW w:w="1170" w:type="dxa"/>
            <w:vAlign w:val="center"/>
          </w:tcPr>
          <w:p w:rsidR="00B92282" w:rsidRDefault="005938E8">
            <w:pPr>
              <w:pStyle w:val="Text"/>
              <w:jc w:val="center"/>
            </w:pPr>
            <w:r>
              <w:t>$410.36</w:t>
            </w:r>
          </w:p>
        </w:tc>
        <w:tc>
          <w:tcPr>
            <w:tcW w:w="1440" w:type="dxa"/>
            <w:vAlign w:val="center"/>
          </w:tcPr>
          <w:p w:rsidR="00B92282" w:rsidRDefault="000C6BA1">
            <w:pPr>
              <w:pStyle w:val="Text"/>
              <w:jc w:val="center"/>
            </w:pPr>
            <w:r w:rsidRPr="000C6BA1">
              <w:t>3,491</w:t>
            </w:r>
          </w:p>
        </w:tc>
      </w:tr>
    </w:tbl>
    <w:p w:rsidR="00C444DC" w:rsidRDefault="00163D66"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4</w:t>
      </w:r>
      <w:r w:rsidR="0023106A">
        <w:fldChar w:fldCharType="end"/>
      </w:r>
      <w:r>
        <w:t>:</w:t>
      </w:r>
      <w:r w:rsidR="005938E8" w:rsidRPr="003E462A">
        <w:t xml:space="preserve"> Comparison of standalone and Hyper-V servers </w:t>
      </w:r>
    </w:p>
    <w:p w:rsidR="00E83AA6" w:rsidRDefault="00E83AA6" w:rsidP="00E63013">
      <w:pPr>
        <w:pStyle w:val="Text"/>
      </w:pPr>
      <w:r>
        <w:t>Comparing the standalone IIS configuration to the Hyp</w:t>
      </w:r>
      <w:r w:rsidR="00785D8D">
        <w:t xml:space="preserve">er-V configurations reveals </w:t>
      </w:r>
      <w:r>
        <w:t xml:space="preserve">much more significant power savings that can be realized through virtualization. The </w:t>
      </w:r>
      <w:r w:rsidR="00785D8D">
        <w:t xml:space="preserve">physical </w:t>
      </w:r>
      <w:r>
        <w:t xml:space="preserve">server </w:t>
      </w:r>
      <w:r>
        <w:lastRenderedPageBreak/>
        <w:t>consumed 517.6 watts o</w:t>
      </w:r>
      <w:r w:rsidR="00970D64">
        <w:t>n average whi</w:t>
      </w:r>
      <w:r w:rsidR="00785D8D">
        <w:t>le running 4 virtual IIS machines</w:t>
      </w:r>
      <w:r w:rsidR="00970D64">
        <w:t>, j</w:t>
      </w:r>
      <w:r w:rsidR="006D3B36">
        <w:t>ust 3.5 percent more power than it used when confi</w:t>
      </w:r>
      <w:r w:rsidR="00785D8D">
        <w:t>gured as a standalone IIS machine</w:t>
      </w:r>
      <w:r w:rsidR="006D3B36">
        <w:t>.</w:t>
      </w:r>
    </w:p>
    <w:p w:rsidR="00A322A9" w:rsidRDefault="006551B0" w:rsidP="006F2319">
      <w:pPr>
        <w:pStyle w:val="Text"/>
      </w:pPr>
      <w:r w:rsidRPr="006551B0">
        <w:t>Th</w:t>
      </w:r>
      <w:r w:rsidR="006D3B36">
        <w:t xml:space="preserve">e implications of these results are significant: </w:t>
      </w:r>
      <w:r w:rsidR="00785D8D">
        <w:t>if multiple virtual machines</w:t>
      </w:r>
      <w:r w:rsidR="00AE5246">
        <w:t xml:space="preserve"> can run on a single physical machine without consuming significantly more power than a standalone server</w:t>
      </w:r>
      <w:r w:rsidR="00785D8D">
        <w:t xml:space="preserve"> while keeping comparable throughput</w:t>
      </w:r>
      <w:r w:rsidR="00AE5246">
        <w:t xml:space="preserve">, that means you can add </w:t>
      </w:r>
      <w:r w:rsidR="00501493">
        <w:t xml:space="preserve">virtual </w:t>
      </w:r>
      <w:r w:rsidR="00785D8D">
        <w:t>machines</w:t>
      </w:r>
      <w:r w:rsidR="00AE5246">
        <w:t xml:space="preserve"> at essentially no </w:t>
      </w:r>
      <w:r w:rsidR="001403D0">
        <w:t xml:space="preserve">power </w:t>
      </w:r>
      <w:r w:rsidR="00AE5246">
        <w:t>cost, as dictated by your hardware and performance needs</w:t>
      </w:r>
      <w:r w:rsidRPr="006551B0">
        <w:t xml:space="preserve">. The savings continue to scale with the number of servers you are able to </w:t>
      </w:r>
      <w:proofErr w:type="spellStart"/>
      <w:r w:rsidRPr="006551B0">
        <w:t>virtualize</w:t>
      </w:r>
      <w:proofErr w:type="spellEnd"/>
      <w:r w:rsidRPr="006551B0">
        <w:t>.</w:t>
      </w:r>
      <w:r w:rsidR="00AE5246">
        <w:t xml:space="preserve"> Running 4 </w:t>
      </w:r>
      <w:r w:rsidR="00785D8D">
        <w:t>virtual machines</w:t>
      </w:r>
      <w:r w:rsidR="00AE5246">
        <w:t xml:space="preserve"> means saving the equivalent power output of three physical servers; running </w:t>
      </w:r>
      <w:r w:rsidR="003A2436">
        <w:t xml:space="preserve">10 </w:t>
      </w:r>
      <w:r w:rsidR="00785D8D">
        <w:t>virtual machines</w:t>
      </w:r>
      <w:r w:rsidR="00AE5246">
        <w:t xml:space="preserve"> means saving the equivalent power output of </w:t>
      </w:r>
      <w:r w:rsidRPr="006551B0">
        <w:t xml:space="preserve">9 </w:t>
      </w:r>
      <w:r w:rsidR="00AE5246">
        <w:t>physical</w:t>
      </w:r>
      <w:r w:rsidR="00AE5246" w:rsidRPr="006551B0">
        <w:t xml:space="preserve"> </w:t>
      </w:r>
      <w:r w:rsidRPr="006551B0">
        <w:t xml:space="preserve">servers. </w:t>
      </w:r>
    </w:p>
    <w:p w:rsidR="00282190" w:rsidRDefault="00282190" w:rsidP="006F2319">
      <w:pPr>
        <w:pStyle w:val="Text"/>
        <w:rPr>
          <w:highlight w:val="yellow"/>
        </w:rPr>
      </w:pPr>
    </w:p>
    <w:p w:rsidR="00090A98" w:rsidRDefault="00282190" w:rsidP="00090A98">
      <w:pPr>
        <w:pStyle w:val="Figure"/>
      </w:pPr>
      <w:r>
        <w:rPr>
          <w:noProof/>
        </w:rPr>
        <w:drawing>
          <wp:inline distT="0" distB="0" distL="0" distR="0">
            <wp:extent cx="6035040" cy="3538429"/>
            <wp:effectExtent l="19050" t="0" r="381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6035040" cy="3538429"/>
                    </a:xfrm>
                    <a:prstGeom prst="rect">
                      <a:avLst/>
                    </a:prstGeom>
                    <a:noFill/>
                    <a:ln w="9525">
                      <a:noFill/>
                      <a:miter lim="800000"/>
                      <a:headEnd/>
                      <a:tailEnd/>
                    </a:ln>
                  </pic:spPr>
                </pic:pic>
              </a:graphicData>
            </a:graphic>
          </wp:inline>
        </w:drawing>
      </w:r>
    </w:p>
    <w:p w:rsidR="00641B83" w:rsidRDefault="00163D66"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5</w:t>
      </w:r>
      <w:r w:rsidR="0023106A">
        <w:fldChar w:fldCharType="end"/>
      </w:r>
      <w:r>
        <w:t>:</w:t>
      </w:r>
      <w:r w:rsidR="006551B0" w:rsidRPr="003E462A">
        <w:t xml:space="preserve"> Power consumption of 1 physical </w:t>
      </w:r>
      <w:r w:rsidR="006F2319">
        <w:t>server in standalone and Hyper-V tests</w:t>
      </w:r>
      <w:r w:rsidR="006F2319" w:rsidRPr="003E462A">
        <w:t xml:space="preserve"> </w:t>
      </w:r>
    </w:p>
    <w:p w:rsidR="00282190" w:rsidRDefault="00282190" w:rsidP="00921C1E">
      <w:pPr>
        <w:pStyle w:val="Text"/>
      </w:pPr>
    </w:p>
    <w:p w:rsidR="00282190" w:rsidRDefault="00282190">
      <w:pPr>
        <w:spacing w:before="0" w:after="0" w:line="240" w:lineRule="auto"/>
      </w:pPr>
      <w:r>
        <w:br w:type="page"/>
      </w:r>
    </w:p>
    <w:p w:rsidR="00921C1E" w:rsidRDefault="006551B0" w:rsidP="00921C1E">
      <w:pPr>
        <w:pStyle w:val="Text"/>
      </w:pPr>
      <w:r w:rsidRPr="006551B0">
        <w:lastRenderedPageBreak/>
        <w:t xml:space="preserve">Figure </w:t>
      </w:r>
      <w:r w:rsidR="006F2319">
        <w:t>6</w:t>
      </w:r>
      <w:r w:rsidR="006F2319" w:rsidRPr="006551B0">
        <w:t xml:space="preserve"> </w:t>
      </w:r>
      <w:r w:rsidR="009400DC">
        <w:t xml:space="preserve">and Figure 7 </w:t>
      </w:r>
      <w:r w:rsidRPr="006551B0">
        <w:t xml:space="preserve">show </w:t>
      </w:r>
      <w:r w:rsidR="00921C1E">
        <w:t xml:space="preserve">the practical effect of expanding your data center by adding virtual capacity, compared to physical capacity. Adding 4 physical IIS servers with the same hardware profile used in the tests would consume more than 17,000 kilowatt-hours of electricity per year; adding 10 physical servers would consume almost 44,000 kilowatt-hours of electricity per year. The difference adds up to thousands of dollars a year </w:t>
      </w:r>
      <w:r w:rsidR="00654B0E">
        <w:t>at current electricity rates.</w:t>
      </w:r>
    </w:p>
    <w:p w:rsidR="00921C1E" w:rsidRDefault="00921C1E" w:rsidP="006551B0">
      <w:pPr>
        <w:pStyle w:val="Text"/>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8"/>
        <w:gridCol w:w="1620"/>
        <w:gridCol w:w="1440"/>
        <w:gridCol w:w="1260"/>
        <w:gridCol w:w="1422"/>
      </w:tblGrid>
      <w:tr w:rsidR="006F2319" w:rsidRPr="009D3774" w:rsidTr="006F2319">
        <w:trPr>
          <w:trHeight w:val="332"/>
        </w:trPr>
        <w:tc>
          <w:tcPr>
            <w:tcW w:w="3168" w:type="dxa"/>
            <w:vAlign w:val="center"/>
          </w:tcPr>
          <w:p w:rsidR="006F2319" w:rsidRPr="009D3774" w:rsidRDefault="005A1C7D" w:rsidP="00282190">
            <w:pPr>
              <w:pStyle w:val="Text"/>
              <w:keepNext/>
              <w:keepLines/>
              <w:jc w:val="center"/>
              <w:rPr>
                <w:b/>
              </w:rPr>
            </w:pPr>
            <w:r>
              <w:rPr>
                <w:b/>
              </w:rPr>
              <w:t>WS08</w:t>
            </w:r>
            <w:r w:rsidR="006F2319">
              <w:rPr>
                <w:b/>
              </w:rPr>
              <w:t xml:space="preserve"> IIS7 Server</w:t>
            </w:r>
          </w:p>
        </w:tc>
        <w:tc>
          <w:tcPr>
            <w:tcW w:w="5742" w:type="dxa"/>
            <w:gridSpan w:val="4"/>
            <w:vAlign w:val="center"/>
          </w:tcPr>
          <w:p w:rsidR="006F2319" w:rsidRPr="009D3774" w:rsidRDefault="006F2319" w:rsidP="00282190">
            <w:pPr>
              <w:pStyle w:val="Text"/>
              <w:keepNext/>
              <w:keepLines/>
              <w:jc w:val="center"/>
              <w:rPr>
                <w:b/>
              </w:rPr>
            </w:pPr>
            <w:r w:rsidRPr="009D3774">
              <w:rPr>
                <w:b/>
              </w:rPr>
              <w:t>Projected</w:t>
            </w:r>
          </w:p>
        </w:tc>
      </w:tr>
      <w:tr w:rsidR="006F2319" w:rsidRPr="009D3774" w:rsidTr="006F2319">
        <w:trPr>
          <w:trHeight w:val="548"/>
        </w:trPr>
        <w:tc>
          <w:tcPr>
            <w:tcW w:w="3168" w:type="dxa"/>
            <w:vAlign w:val="center"/>
          </w:tcPr>
          <w:p w:rsidR="006F2319" w:rsidRPr="009D3774" w:rsidRDefault="006F2319" w:rsidP="00282190">
            <w:pPr>
              <w:pStyle w:val="Text"/>
              <w:keepNext/>
              <w:keepLines/>
              <w:jc w:val="center"/>
              <w:rPr>
                <w:b/>
              </w:rPr>
            </w:pPr>
            <w:r w:rsidRPr="009D3774">
              <w:rPr>
                <w:b/>
              </w:rPr>
              <w:t>Server setup</w:t>
            </w:r>
          </w:p>
        </w:tc>
        <w:tc>
          <w:tcPr>
            <w:tcW w:w="1620" w:type="dxa"/>
            <w:vAlign w:val="center"/>
          </w:tcPr>
          <w:p w:rsidR="006F2319" w:rsidRPr="009D3774" w:rsidRDefault="006F2319" w:rsidP="00282190">
            <w:pPr>
              <w:pStyle w:val="Text"/>
              <w:keepNext/>
              <w:keepLines/>
              <w:jc w:val="center"/>
              <w:rPr>
                <w:b/>
              </w:rPr>
            </w:pPr>
            <w:r w:rsidRPr="009D3774">
              <w:rPr>
                <w:b/>
              </w:rPr>
              <w:t>Average watts</w:t>
            </w:r>
          </w:p>
        </w:tc>
        <w:tc>
          <w:tcPr>
            <w:tcW w:w="1440" w:type="dxa"/>
            <w:vAlign w:val="center"/>
          </w:tcPr>
          <w:p w:rsidR="006F2319" w:rsidRPr="009D3774" w:rsidRDefault="006F2319" w:rsidP="00282190">
            <w:pPr>
              <w:pStyle w:val="Text"/>
              <w:keepNext/>
              <w:keepLines/>
              <w:jc w:val="center"/>
              <w:rPr>
                <w:b/>
              </w:rPr>
            </w:pPr>
            <w:r w:rsidRPr="009D3774">
              <w:rPr>
                <w:b/>
              </w:rPr>
              <w:t>kWh/year</w:t>
            </w:r>
          </w:p>
        </w:tc>
        <w:tc>
          <w:tcPr>
            <w:tcW w:w="1260" w:type="dxa"/>
            <w:vAlign w:val="center"/>
          </w:tcPr>
          <w:p w:rsidR="006F2319" w:rsidRPr="009D3774" w:rsidRDefault="006F2319" w:rsidP="00282190">
            <w:pPr>
              <w:pStyle w:val="Text"/>
              <w:keepNext/>
              <w:keepLines/>
              <w:jc w:val="center"/>
              <w:rPr>
                <w:b/>
              </w:rPr>
            </w:pPr>
            <w:r w:rsidRPr="009D3774">
              <w:rPr>
                <w:b/>
              </w:rPr>
              <w:t>Cost</w:t>
            </w:r>
          </w:p>
        </w:tc>
        <w:tc>
          <w:tcPr>
            <w:tcW w:w="1422" w:type="dxa"/>
            <w:vAlign w:val="center"/>
          </w:tcPr>
          <w:p w:rsidR="006F2319" w:rsidRPr="009D3774" w:rsidRDefault="006F2319" w:rsidP="00282190">
            <w:pPr>
              <w:pStyle w:val="Text"/>
              <w:keepNext/>
              <w:keepLines/>
              <w:jc w:val="center"/>
              <w:rPr>
                <w:b/>
              </w:rPr>
            </w:pPr>
            <w:r>
              <w:rPr>
                <w:b/>
              </w:rPr>
              <w:t>Kilograms</w:t>
            </w:r>
            <w:r w:rsidRPr="009D3774">
              <w:rPr>
                <w:b/>
              </w:rPr>
              <w:t xml:space="preserve"> of CO</w:t>
            </w:r>
            <w:r w:rsidRPr="009D3774">
              <w:rPr>
                <w:b/>
                <w:vertAlign w:val="subscript"/>
              </w:rPr>
              <w:t>2</w:t>
            </w:r>
          </w:p>
        </w:tc>
      </w:tr>
      <w:tr w:rsidR="006F2319" w:rsidRPr="009D3774" w:rsidTr="00412ABF">
        <w:tc>
          <w:tcPr>
            <w:tcW w:w="3168" w:type="dxa"/>
            <w:vAlign w:val="center"/>
          </w:tcPr>
          <w:p w:rsidR="006F2319" w:rsidRPr="009D3774" w:rsidRDefault="006F2319" w:rsidP="00282190">
            <w:pPr>
              <w:pStyle w:val="Text"/>
              <w:keepNext/>
              <w:keepLines/>
            </w:pPr>
            <w:r>
              <w:t>Standalone IIS7 server × 4</w:t>
            </w:r>
          </w:p>
        </w:tc>
        <w:tc>
          <w:tcPr>
            <w:tcW w:w="1620" w:type="dxa"/>
            <w:vAlign w:val="center"/>
          </w:tcPr>
          <w:p w:rsidR="00B92282" w:rsidRDefault="006F2319" w:rsidP="00282190">
            <w:pPr>
              <w:pStyle w:val="Text"/>
              <w:keepNext/>
              <w:keepLines/>
              <w:ind w:right="162"/>
              <w:jc w:val="right"/>
            </w:pPr>
            <w:r>
              <w:t>2,000.40</w:t>
            </w:r>
          </w:p>
        </w:tc>
        <w:tc>
          <w:tcPr>
            <w:tcW w:w="1440" w:type="dxa"/>
            <w:vAlign w:val="center"/>
          </w:tcPr>
          <w:p w:rsidR="00B92282" w:rsidRDefault="006F2319" w:rsidP="00282190">
            <w:pPr>
              <w:pStyle w:val="Text"/>
              <w:keepNext/>
              <w:keepLines/>
              <w:ind w:right="162"/>
              <w:jc w:val="right"/>
            </w:pPr>
            <w:r>
              <w:t>17,535.51</w:t>
            </w:r>
          </w:p>
        </w:tc>
        <w:tc>
          <w:tcPr>
            <w:tcW w:w="1260" w:type="dxa"/>
            <w:vAlign w:val="center"/>
          </w:tcPr>
          <w:p w:rsidR="00B92282" w:rsidRDefault="006F2319" w:rsidP="00282190">
            <w:pPr>
              <w:pStyle w:val="Text"/>
              <w:keepNext/>
              <w:keepLines/>
              <w:jc w:val="right"/>
            </w:pPr>
            <w:r>
              <w:t>$1,602.75</w:t>
            </w:r>
          </w:p>
        </w:tc>
        <w:tc>
          <w:tcPr>
            <w:tcW w:w="1422" w:type="dxa"/>
            <w:vAlign w:val="center"/>
          </w:tcPr>
          <w:p w:rsidR="00B92282" w:rsidRDefault="00813F09" w:rsidP="00282190">
            <w:pPr>
              <w:pStyle w:val="Text"/>
              <w:keepNext/>
              <w:keepLines/>
              <w:ind w:right="234"/>
              <w:jc w:val="right"/>
            </w:pPr>
            <w:r w:rsidRPr="00813F09">
              <w:t>13,633</w:t>
            </w:r>
          </w:p>
        </w:tc>
      </w:tr>
      <w:tr w:rsidR="0050249C" w:rsidRPr="009D3774" w:rsidTr="00412ABF">
        <w:trPr>
          <w:trHeight w:val="593"/>
        </w:trPr>
        <w:tc>
          <w:tcPr>
            <w:tcW w:w="3168" w:type="dxa"/>
            <w:tcBorders>
              <w:bottom w:val="single" w:sz="4" w:space="0" w:color="000000"/>
            </w:tcBorders>
            <w:vAlign w:val="center"/>
          </w:tcPr>
          <w:p w:rsidR="0050249C" w:rsidRDefault="0050249C" w:rsidP="00282190">
            <w:pPr>
              <w:pStyle w:val="Text"/>
              <w:keepNext/>
              <w:keepLines/>
            </w:pPr>
            <w:r>
              <w:t xml:space="preserve">One </w:t>
            </w:r>
            <w:r w:rsidRPr="00C36F99">
              <w:t xml:space="preserve">Hyper-V </w:t>
            </w:r>
            <w:r>
              <w:t>server with</w:t>
            </w:r>
            <w:r w:rsidRPr="00C36F99">
              <w:t xml:space="preserve"> 4 IIS7 </w:t>
            </w:r>
            <w:r>
              <w:t>virtual machines</w:t>
            </w:r>
          </w:p>
        </w:tc>
        <w:tc>
          <w:tcPr>
            <w:tcW w:w="1620" w:type="dxa"/>
            <w:tcBorders>
              <w:bottom w:val="single" w:sz="4" w:space="0" w:color="000000"/>
            </w:tcBorders>
            <w:vAlign w:val="center"/>
          </w:tcPr>
          <w:p w:rsidR="00B92282" w:rsidRDefault="0050249C" w:rsidP="00282190">
            <w:pPr>
              <w:pStyle w:val="Text"/>
              <w:keepNext/>
              <w:keepLines/>
              <w:ind w:right="162"/>
              <w:jc w:val="right"/>
            </w:pPr>
            <w:r>
              <w:t>517.66</w:t>
            </w:r>
            <w:r>
              <w:br/>
            </w:r>
            <w:r w:rsidRPr="009B08B9">
              <w:t>(measured)</w:t>
            </w:r>
          </w:p>
        </w:tc>
        <w:tc>
          <w:tcPr>
            <w:tcW w:w="1440" w:type="dxa"/>
            <w:tcBorders>
              <w:bottom w:val="single" w:sz="4" w:space="0" w:color="000000"/>
            </w:tcBorders>
            <w:vAlign w:val="center"/>
          </w:tcPr>
          <w:p w:rsidR="00B92282" w:rsidRDefault="0050249C" w:rsidP="00282190">
            <w:pPr>
              <w:pStyle w:val="Text"/>
              <w:keepNext/>
              <w:keepLines/>
              <w:ind w:right="162"/>
              <w:jc w:val="right"/>
            </w:pPr>
            <w:r>
              <w:t>4,537.81</w:t>
            </w:r>
          </w:p>
        </w:tc>
        <w:tc>
          <w:tcPr>
            <w:tcW w:w="1260" w:type="dxa"/>
            <w:tcBorders>
              <w:bottom w:val="single" w:sz="4" w:space="0" w:color="000000"/>
            </w:tcBorders>
            <w:vAlign w:val="center"/>
          </w:tcPr>
          <w:p w:rsidR="00B92282" w:rsidRDefault="0050249C" w:rsidP="00282190">
            <w:pPr>
              <w:pStyle w:val="Text"/>
              <w:keepNext/>
              <w:keepLines/>
              <w:jc w:val="right"/>
            </w:pPr>
            <w:r>
              <w:t>$414.76</w:t>
            </w:r>
          </w:p>
        </w:tc>
        <w:tc>
          <w:tcPr>
            <w:tcW w:w="1422" w:type="dxa"/>
            <w:tcBorders>
              <w:bottom w:val="single" w:sz="4" w:space="0" w:color="000000"/>
            </w:tcBorders>
            <w:vAlign w:val="center"/>
          </w:tcPr>
          <w:p w:rsidR="00B92282" w:rsidRDefault="0050249C" w:rsidP="00282190">
            <w:pPr>
              <w:pStyle w:val="Text"/>
              <w:keepNext/>
              <w:keepLines/>
              <w:ind w:right="234"/>
              <w:jc w:val="right"/>
            </w:pPr>
            <w:r w:rsidRPr="000C6BA1">
              <w:t>3,528</w:t>
            </w:r>
          </w:p>
        </w:tc>
      </w:tr>
      <w:tr w:rsidR="006F2319" w:rsidRPr="009D3774" w:rsidTr="00412ABF">
        <w:tc>
          <w:tcPr>
            <w:tcW w:w="3168" w:type="dxa"/>
            <w:tcBorders>
              <w:bottom w:val="thinThickSmallGap" w:sz="24" w:space="0" w:color="auto"/>
            </w:tcBorders>
            <w:shd w:val="clear" w:color="auto" w:fill="00FF00"/>
            <w:vAlign w:val="center"/>
          </w:tcPr>
          <w:p w:rsidR="006F2319" w:rsidRPr="009B08B9" w:rsidRDefault="006F2319" w:rsidP="00282190">
            <w:pPr>
              <w:pStyle w:val="Text"/>
              <w:keepNext/>
              <w:keepLines/>
            </w:pPr>
            <w:r w:rsidRPr="009B08B9">
              <w:t>Potential Savings</w:t>
            </w:r>
          </w:p>
        </w:tc>
        <w:tc>
          <w:tcPr>
            <w:tcW w:w="1620" w:type="dxa"/>
            <w:tcBorders>
              <w:bottom w:val="thinThickSmallGap" w:sz="24" w:space="0" w:color="auto"/>
            </w:tcBorders>
            <w:shd w:val="clear" w:color="auto" w:fill="00FF00"/>
            <w:vAlign w:val="center"/>
          </w:tcPr>
          <w:p w:rsidR="00B92282" w:rsidRDefault="006F2319" w:rsidP="00282190">
            <w:pPr>
              <w:pStyle w:val="Text"/>
              <w:keepNext/>
              <w:keepLines/>
              <w:ind w:right="162"/>
              <w:jc w:val="right"/>
            </w:pPr>
            <w:r w:rsidRPr="009B08B9">
              <w:t>1,482.74</w:t>
            </w:r>
          </w:p>
        </w:tc>
        <w:tc>
          <w:tcPr>
            <w:tcW w:w="1440" w:type="dxa"/>
            <w:tcBorders>
              <w:bottom w:val="thinThickSmallGap" w:sz="24" w:space="0" w:color="auto"/>
            </w:tcBorders>
            <w:shd w:val="clear" w:color="auto" w:fill="00FF00"/>
            <w:vAlign w:val="center"/>
          </w:tcPr>
          <w:p w:rsidR="00B92282" w:rsidRDefault="006F2319" w:rsidP="00282190">
            <w:pPr>
              <w:pStyle w:val="Text"/>
              <w:keepNext/>
              <w:keepLines/>
              <w:ind w:right="162"/>
              <w:jc w:val="right"/>
            </w:pPr>
            <w:r w:rsidRPr="009B08B9">
              <w:t>12,997.70</w:t>
            </w:r>
          </w:p>
        </w:tc>
        <w:tc>
          <w:tcPr>
            <w:tcW w:w="1260" w:type="dxa"/>
            <w:tcBorders>
              <w:bottom w:val="thinThickSmallGap" w:sz="24" w:space="0" w:color="auto"/>
            </w:tcBorders>
            <w:shd w:val="clear" w:color="auto" w:fill="00FF00"/>
            <w:vAlign w:val="center"/>
          </w:tcPr>
          <w:p w:rsidR="00B92282" w:rsidRDefault="006F2319" w:rsidP="00282190">
            <w:pPr>
              <w:pStyle w:val="Text"/>
              <w:keepNext/>
              <w:keepLines/>
              <w:jc w:val="right"/>
            </w:pPr>
            <w:r w:rsidRPr="009B08B9">
              <w:t>$1,187.99</w:t>
            </w:r>
          </w:p>
        </w:tc>
        <w:tc>
          <w:tcPr>
            <w:tcW w:w="1422" w:type="dxa"/>
            <w:tcBorders>
              <w:bottom w:val="thinThickSmallGap" w:sz="24" w:space="0" w:color="auto"/>
            </w:tcBorders>
            <w:shd w:val="clear" w:color="auto" w:fill="00FF00"/>
            <w:vAlign w:val="center"/>
          </w:tcPr>
          <w:p w:rsidR="00B92282" w:rsidRDefault="0050249C" w:rsidP="00282190">
            <w:pPr>
              <w:pStyle w:val="Text"/>
              <w:keepNext/>
              <w:keepLines/>
              <w:ind w:right="234"/>
              <w:jc w:val="right"/>
            </w:pPr>
            <w:r w:rsidRPr="0050249C">
              <w:t>10</w:t>
            </w:r>
            <w:r w:rsidR="008419EF">
              <w:t>,</w:t>
            </w:r>
            <w:r w:rsidRPr="0050249C">
              <w:t>105</w:t>
            </w:r>
          </w:p>
        </w:tc>
      </w:tr>
      <w:tr w:rsidR="006F2319" w:rsidRPr="009D3774" w:rsidTr="00412ABF">
        <w:tc>
          <w:tcPr>
            <w:tcW w:w="3168" w:type="dxa"/>
            <w:tcBorders>
              <w:top w:val="thinThickSmallGap" w:sz="24" w:space="0" w:color="auto"/>
            </w:tcBorders>
            <w:vAlign w:val="center"/>
          </w:tcPr>
          <w:p w:rsidR="006F2319" w:rsidRPr="009B08B9" w:rsidRDefault="006F2319" w:rsidP="00282190">
            <w:pPr>
              <w:pStyle w:val="Text"/>
              <w:keepNext/>
              <w:keepLines/>
            </w:pPr>
            <w:r>
              <w:t>Standalone IIS7 server × 10</w:t>
            </w:r>
          </w:p>
        </w:tc>
        <w:tc>
          <w:tcPr>
            <w:tcW w:w="1620" w:type="dxa"/>
            <w:tcBorders>
              <w:top w:val="thinThickSmallGap" w:sz="24" w:space="0" w:color="auto"/>
            </w:tcBorders>
            <w:vAlign w:val="center"/>
          </w:tcPr>
          <w:p w:rsidR="00B92282" w:rsidRDefault="006F2319" w:rsidP="00282190">
            <w:pPr>
              <w:pStyle w:val="Text"/>
              <w:keepNext/>
              <w:keepLines/>
              <w:ind w:right="162"/>
              <w:jc w:val="right"/>
            </w:pPr>
            <w:r w:rsidRPr="009B08B9">
              <w:t>5,001.00</w:t>
            </w:r>
          </w:p>
        </w:tc>
        <w:tc>
          <w:tcPr>
            <w:tcW w:w="1440" w:type="dxa"/>
            <w:tcBorders>
              <w:top w:val="thinThickSmallGap" w:sz="24" w:space="0" w:color="auto"/>
            </w:tcBorders>
            <w:vAlign w:val="center"/>
          </w:tcPr>
          <w:p w:rsidR="00B92282" w:rsidRDefault="006F2319" w:rsidP="00282190">
            <w:pPr>
              <w:pStyle w:val="Text"/>
              <w:keepNext/>
              <w:keepLines/>
              <w:ind w:right="162"/>
              <w:jc w:val="right"/>
            </w:pPr>
            <w:r w:rsidRPr="009B08B9">
              <w:t>43,838.77</w:t>
            </w:r>
          </w:p>
        </w:tc>
        <w:tc>
          <w:tcPr>
            <w:tcW w:w="1260" w:type="dxa"/>
            <w:tcBorders>
              <w:top w:val="thinThickSmallGap" w:sz="24" w:space="0" w:color="auto"/>
            </w:tcBorders>
            <w:vAlign w:val="center"/>
          </w:tcPr>
          <w:p w:rsidR="00B92282" w:rsidRDefault="006F2319" w:rsidP="00282190">
            <w:pPr>
              <w:pStyle w:val="Text"/>
              <w:keepNext/>
              <w:keepLines/>
              <w:jc w:val="right"/>
            </w:pPr>
            <w:r w:rsidRPr="009B08B9">
              <w:t>$4,006.86</w:t>
            </w:r>
          </w:p>
        </w:tc>
        <w:tc>
          <w:tcPr>
            <w:tcW w:w="1422" w:type="dxa"/>
            <w:tcBorders>
              <w:top w:val="thinThickSmallGap" w:sz="24" w:space="0" w:color="auto"/>
            </w:tcBorders>
            <w:vAlign w:val="center"/>
          </w:tcPr>
          <w:p w:rsidR="00B92282" w:rsidRDefault="0050249C" w:rsidP="00282190">
            <w:pPr>
              <w:pStyle w:val="Text"/>
              <w:keepNext/>
              <w:keepLines/>
              <w:ind w:right="234"/>
              <w:jc w:val="right"/>
            </w:pPr>
            <w:r w:rsidRPr="0050249C">
              <w:t>34,083</w:t>
            </w:r>
          </w:p>
        </w:tc>
      </w:tr>
      <w:tr w:rsidR="0050249C" w:rsidRPr="009D3774" w:rsidTr="00412ABF">
        <w:tc>
          <w:tcPr>
            <w:tcW w:w="3168" w:type="dxa"/>
            <w:tcBorders>
              <w:bottom w:val="single" w:sz="4" w:space="0" w:color="000000"/>
            </w:tcBorders>
            <w:vAlign w:val="center"/>
          </w:tcPr>
          <w:p w:rsidR="0050249C" w:rsidRPr="009B08B9" w:rsidRDefault="0050249C" w:rsidP="00282190">
            <w:pPr>
              <w:pStyle w:val="Text"/>
              <w:keepNext/>
              <w:keepLines/>
            </w:pPr>
            <w:r>
              <w:rPr>
                <w:color w:val="auto"/>
              </w:rPr>
              <w:t xml:space="preserve">One </w:t>
            </w:r>
            <w:r w:rsidRPr="009B08B9">
              <w:rPr>
                <w:color w:val="auto"/>
              </w:rPr>
              <w:t>Hyper-</w:t>
            </w:r>
            <w:r w:rsidRPr="00C36F99">
              <w:t xml:space="preserve">V </w:t>
            </w:r>
            <w:r>
              <w:t>server with</w:t>
            </w:r>
            <w:r w:rsidRPr="00C36F99">
              <w:t xml:space="preserve"> </w:t>
            </w:r>
            <w:r>
              <w:t>10</w:t>
            </w:r>
            <w:r w:rsidRPr="00C36F99">
              <w:t xml:space="preserve"> IIS7</w:t>
            </w:r>
            <w:r>
              <w:t xml:space="preserve"> virtual machines</w:t>
            </w:r>
          </w:p>
        </w:tc>
        <w:tc>
          <w:tcPr>
            <w:tcW w:w="1620" w:type="dxa"/>
            <w:tcBorders>
              <w:bottom w:val="single" w:sz="4" w:space="0" w:color="000000"/>
            </w:tcBorders>
            <w:vAlign w:val="center"/>
          </w:tcPr>
          <w:p w:rsidR="00B92282" w:rsidRDefault="0050249C" w:rsidP="00282190">
            <w:pPr>
              <w:pStyle w:val="Text"/>
              <w:keepNext/>
              <w:keepLines/>
              <w:ind w:right="162"/>
              <w:jc w:val="right"/>
            </w:pPr>
            <w:r w:rsidRPr="009B08B9">
              <w:t>512.17</w:t>
            </w:r>
            <w:r>
              <w:br/>
            </w:r>
            <w:r w:rsidRPr="009B08B9">
              <w:t>(measured)</w:t>
            </w:r>
          </w:p>
        </w:tc>
        <w:tc>
          <w:tcPr>
            <w:tcW w:w="1440" w:type="dxa"/>
            <w:tcBorders>
              <w:bottom w:val="single" w:sz="4" w:space="0" w:color="000000"/>
            </w:tcBorders>
            <w:vAlign w:val="center"/>
          </w:tcPr>
          <w:p w:rsidR="00B92282" w:rsidRDefault="0050249C" w:rsidP="00282190">
            <w:pPr>
              <w:pStyle w:val="Text"/>
              <w:keepNext/>
              <w:keepLines/>
              <w:ind w:right="162"/>
              <w:jc w:val="right"/>
            </w:pPr>
            <w:r w:rsidRPr="009B08B9">
              <w:t>4,489.68</w:t>
            </w:r>
          </w:p>
        </w:tc>
        <w:tc>
          <w:tcPr>
            <w:tcW w:w="1260" w:type="dxa"/>
            <w:tcBorders>
              <w:bottom w:val="single" w:sz="4" w:space="0" w:color="000000"/>
            </w:tcBorders>
            <w:vAlign w:val="center"/>
          </w:tcPr>
          <w:p w:rsidR="00B92282" w:rsidRDefault="0050249C" w:rsidP="00282190">
            <w:pPr>
              <w:pStyle w:val="Text"/>
              <w:keepNext/>
              <w:keepLines/>
              <w:jc w:val="right"/>
            </w:pPr>
            <w:r w:rsidRPr="009B08B9">
              <w:t>$410.36</w:t>
            </w:r>
          </w:p>
        </w:tc>
        <w:tc>
          <w:tcPr>
            <w:tcW w:w="1422" w:type="dxa"/>
            <w:tcBorders>
              <w:bottom w:val="single" w:sz="4" w:space="0" w:color="000000"/>
            </w:tcBorders>
            <w:vAlign w:val="center"/>
          </w:tcPr>
          <w:p w:rsidR="00B92282" w:rsidRDefault="0050249C" w:rsidP="00282190">
            <w:pPr>
              <w:pStyle w:val="Text"/>
              <w:keepNext/>
              <w:keepLines/>
              <w:ind w:right="234"/>
              <w:jc w:val="right"/>
            </w:pPr>
            <w:r w:rsidRPr="000C6BA1">
              <w:t>3,491</w:t>
            </w:r>
          </w:p>
        </w:tc>
      </w:tr>
      <w:tr w:rsidR="006F2319" w:rsidRPr="009D3774" w:rsidTr="00412ABF">
        <w:tc>
          <w:tcPr>
            <w:tcW w:w="3168" w:type="dxa"/>
            <w:shd w:val="clear" w:color="auto" w:fill="00FF00"/>
            <w:vAlign w:val="center"/>
          </w:tcPr>
          <w:p w:rsidR="006F2319" w:rsidRPr="009B08B9" w:rsidRDefault="006F2319" w:rsidP="00282190">
            <w:pPr>
              <w:pStyle w:val="Text"/>
              <w:keepNext/>
              <w:keepLines/>
            </w:pPr>
            <w:r w:rsidRPr="009B08B9">
              <w:t>Potential Savings</w:t>
            </w:r>
          </w:p>
        </w:tc>
        <w:tc>
          <w:tcPr>
            <w:tcW w:w="1620" w:type="dxa"/>
            <w:shd w:val="clear" w:color="auto" w:fill="00FF00"/>
            <w:vAlign w:val="center"/>
          </w:tcPr>
          <w:p w:rsidR="00B92282" w:rsidRDefault="006F2319" w:rsidP="00282190">
            <w:pPr>
              <w:pStyle w:val="Text"/>
              <w:keepNext/>
              <w:keepLines/>
              <w:ind w:right="162"/>
              <w:jc w:val="right"/>
            </w:pPr>
            <w:r w:rsidRPr="009B08B9">
              <w:t>4,488.83</w:t>
            </w:r>
          </w:p>
        </w:tc>
        <w:tc>
          <w:tcPr>
            <w:tcW w:w="1440" w:type="dxa"/>
            <w:shd w:val="clear" w:color="auto" w:fill="00FF00"/>
            <w:vAlign w:val="center"/>
          </w:tcPr>
          <w:p w:rsidR="00B92282" w:rsidRDefault="006F2319" w:rsidP="00282190">
            <w:pPr>
              <w:pStyle w:val="Text"/>
              <w:keepNext/>
              <w:keepLines/>
              <w:ind w:right="162"/>
              <w:jc w:val="right"/>
            </w:pPr>
            <w:r w:rsidRPr="009B08B9">
              <w:t>39,349.</w:t>
            </w:r>
            <w:r w:rsidR="0050249C" w:rsidRPr="009B08B9">
              <w:t>0</w:t>
            </w:r>
            <w:r w:rsidR="0050249C">
              <w:t>9</w:t>
            </w:r>
          </w:p>
        </w:tc>
        <w:tc>
          <w:tcPr>
            <w:tcW w:w="1260" w:type="dxa"/>
            <w:shd w:val="clear" w:color="auto" w:fill="00FF00"/>
            <w:vAlign w:val="center"/>
          </w:tcPr>
          <w:p w:rsidR="00B92282" w:rsidRDefault="006F2319" w:rsidP="00282190">
            <w:pPr>
              <w:pStyle w:val="Text"/>
              <w:keepNext/>
              <w:keepLines/>
              <w:jc w:val="right"/>
            </w:pPr>
            <w:r w:rsidRPr="009B08B9">
              <w:t>$3,596.51</w:t>
            </w:r>
          </w:p>
        </w:tc>
        <w:tc>
          <w:tcPr>
            <w:tcW w:w="1422" w:type="dxa"/>
            <w:shd w:val="clear" w:color="auto" w:fill="00FF00"/>
            <w:vAlign w:val="center"/>
          </w:tcPr>
          <w:p w:rsidR="00B92282" w:rsidRDefault="0050249C" w:rsidP="00282190">
            <w:pPr>
              <w:pStyle w:val="Text"/>
              <w:keepNext/>
              <w:keepLines/>
              <w:ind w:right="234"/>
              <w:jc w:val="right"/>
            </w:pPr>
            <w:r w:rsidRPr="0050249C">
              <w:t>30</w:t>
            </w:r>
            <w:r w:rsidR="008419EF">
              <w:t>,</w:t>
            </w:r>
            <w:r w:rsidRPr="0050249C">
              <w:t>592</w:t>
            </w:r>
          </w:p>
        </w:tc>
      </w:tr>
    </w:tbl>
    <w:p w:rsidR="00641B83" w:rsidRDefault="00163D66"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6</w:t>
      </w:r>
      <w:r w:rsidR="0023106A">
        <w:fldChar w:fldCharType="end"/>
      </w:r>
      <w:r>
        <w:t>:</w:t>
      </w:r>
      <w:r w:rsidR="00921C1E" w:rsidRPr="003E462A">
        <w:t xml:space="preserve"> </w:t>
      </w:r>
      <w:r w:rsidR="009E2EA5">
        <w:t>Power usage of a Hyper-V server compared to multiple physical servers performing the same work</w:t>
      </w:r>
    </w:p>
    <w:p w:rsidR="00282190" w:rsidRDefault="00282190" w:rsidP="006551B0">
      <w:pPr>
        <w:pStyle w:val="Text"/>
      </w:pPr>
    </w:p>
    <w:p w:rsidR="00F91A71" w:rsidRDefault="00F91A71" w:rsidP="006551B0">
      <w:pPr>
        <w:pStyle w:val="Text"/>
      </w:pPr>
      <w:r w:rsidRPr="00316672">
        <w:t xml:space="preserve">Saving </w:t>
      </w:r>
      <w:r>
        <w:t xml:space="preserve">power also means reducing the amount of </w:t>
      </w:r>
      <w:r w:rsidRPr="006551B0">
        <w:t>CO</w:t>
      </w:r>
      <w:r w:rsidRPr="006551B0">
        <w:rPr>
          <w:vertAlign w:val="subscript"/>
        </w:rPr>
        <w:t>2</w:t>
      </w:r>
      <w:r>
        <w:t xml:space="preserve"> your data center contributes to the atmosphere. A single Hyper-V server with 10 virtual IIS servers can reduce your </w:t>
      </w:r>
      <w:r w:rsidRPr="006551B0">
        <w:t>CO</w:t>
      </w:r>
      <w:r w:rsidRPr="006551B0">
        <w:rPr>
          <w:vertAlign w:val="subscript"/>
        </w:rPr>
        <w:t>2</w:t>
      </w:r>
      <w:r>
        <w:t xml:space="preserve"> output by </w:t>
      </w:r>
      <w:r w:rsidR="007776EF">
        <w:t xml:space="preserve">more than 30 metric tons </w:t>
      </w:r>
      <w:r>
        <w:t xml:space="preserve">compared to the output of 10 physical servers with the same hardware profile. In carbon terms, this is the equivalent of burning </w:t>
      </w:r>
      <w:r w:rsidR="007776EF">
        <w:t>1,500 liters</w:t>
      </w:r>
      <w:r>
        <w:t xml:space="preserve"> of gasoline, rather than </w:t>
      </w:r>
      <w:r w:rsidR="007776EF">
        <w:t>14,000 liters</w:t>
      </w:r>
      <w:r w:rsidR="003A2436">
        <w:t xml:space="preserve"> (or 396 gallons rather than </w:t>
      </w:r>
      <w:r w:rsidR="00285435">
        <w:t>3,698 gallons)</w:t>
      </w:r>
      <w:r>
        <w:t>.</w:t>
      </w:r>
    </w:p>
    <w:p w:rsidR="00BC0999" w:rsidRDefault="00F91A71" w:rsidP="00E63013">
      <w:pPr>
        <w:pStyle w:val="Text"/>
        <w:rPr>
          <w:highlight w:val="yellow"/>
        </w:rPr>
      </w:pPr>
      <w:r>
        <w:t xml:space="preserve">In addition to its beneficial effects on the environment, this reduction can translate directly into revenue in jurisdictions that engage in carbon trading. At the current market rate of about </w:t>
      </w:r>
      <w:r w:rsidRPr="00DF7BF2">
        <w:t>€25</w:t>
      </w:r>
      <w:r>
        <w:t xml:space="preserve"> </w:t>
      </w:r>
      <w:r w:rsidR="00FA1425">
        <w:t>per metric ton</w:t>
      </w:r>
      <w:r>
        <w:t xml:space="preserve"> for European carbon allowances, even this modest Hyper-V deployment could free up carbon credits worth </w:t>
      </w:r>
      <w:r w:rsidRPr="00DF7BF2">
        <w:t>€</w:t>
      </w:r>
      <w:r>
        <w:t>750, or more than $1,100 USD, every year.</w:t>
      </w:r>
    </w:p>
    <w:p w:rsidR="00641B83" w:rsidRDefault="00F354CE">
      <w:pPr>
        <w:pStyle w:val="Figure"/>
        <w:rPr>
          <w:highlight w:val="yellow"/>
        </w:rPr>
      </w:pPr>
      <w:r>
        <w:rPr>
          <w:noProof/>
        </w:rPr>
        <w:lastRenderedPageBreak/>
        <w:drawing>
          <wp:inline distT="0" distB="0" distL="0" distR="0">
            <wp:extent cx="6010275" cy="3623659"/>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010275" cy="3623659"/>
                    </a:xfrm>
                    <a:prstGeom prst="rect">
                      <a:avLst/>
                    </a:prstGeom>
                    <a:noFill/>
                    <a:ln w="9525">
                      <a:noFill/>
                      <a:miter lim="800000"/>
                      <a:headEnd/>
                      <a:tailEnd/>
                    </a:ln>
                  </pic:spPr>
                </pic:pic>
              </a:graphicData>
            </a:graphic>
          </wp:inline>
        </w:drawing>
      </w:r>
    </w:p>
    <w:p w:rsidR="00641B83" w:rsidRPr="003A2436" w:rsidRDefault="00163D66"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7</w:t>
      </w:r>
      <w:r w:rsidR="0023106A">
        <w:fldChar w:fldCharType="end"/>
      </w:r>
      <w:r>
        <w:t>:</w:t>
      </w:r>
      <w:r w:rsidR="003E462A" w:rsidRPr="003A2436">
        <w:t xml:space="preserve"> </w:t>
      </w:r>
      <w:r w:rsidR="00A64EE8">
        <w:t xml:space="preserve">The yearly power consumption of </w:t>
      </w:r>
      <w:r w:rsidR="00CF7FDA">
        <w:t xml:space="preserve">a Hyper-V server running 1, 4, and 10 </w:t>
      </w:r>
      <w:r w:rsidR="00785D8D">
        <w:t>virtual machines</w:t>
      </w:r>
      <w:r w:rsidR="00CF7FDA">
        <w:t>, compared to multiple physical servers performing the same work</w:t>
      </w:r>
    </w:p>
    <w:p w:rsidR="00282190" w:rsidRDefault="00282190" w:rsidP="00B96E6F">
      <w:pPr>
        <w:pStyle w:val="Text"/>
      </w:pPr>
    </w:p>
    <w:p w:rsidR="00E63013" w:rsidRDefault="00E63013" w:rsidP="00B96E6F">
      <w:pPr>
        <w:pStyle w:val="Text"/>
      </w:pPr>
      <w:r>
        <w:t>The potential power savings provided by Hyper-V virtualization are clear and significant. This is vividly</w:t>
      </w:r>
      <w:r w:rsidR="009E2EA5" w:rsidRPr="009E2EA5">
        <w:t xml:space="preserve"> </w:t>
      </w:r>
      <w:r w:rsidR="009E2EA5">
        <w:t>illustrated</w:t>
      </w:r>
      <w:r>
        <w:t xml:space="preserve"> by the results of the tests described above, which found that the power usage of a single </w:t>
      </w:r>
      <w:r w:rsidR="00DD34DC">
        <w:t>Hyper-V</w:t>
      </w:r>
      <w:r>
        <w:t xml:space="preserve"> server hosting </w:t>
      </w:r>
      <w:r w:rsidR="00D80228">
        <w:t>4 or 10</w:t>
      </w:r>
      <w:r>
        <w:t xml:space="preserve"> virtual machines </w:t>
      </w:r>
      <w:r w:rsidR="00005C53">
        <w:t xml:space="preserve">did </w:t>
      </w:r>
      <w:r>
        <w:t xml:space="preserve">not differ significantly from the power usage of </w:t>
      </w:r>
      <w:r w:rsidR="008C52A0">
        <w:t>the same server when hosting a single instance of IIS7</w:t>
      </w:r>
      <w:r w:rsidR="00CD2EDB">
        <w:t>, all while maintaining comparable performance</w:t>
      </w:r>
      <w:r>
        <w:t xml:space="preserve">. With </w:t>
      </w:r>
      <w:r w:rsidR="00D80228">
        <w:t>4</w:t>
      </w:r>
      <w:r w:rsidR="003F67EE">
        <w:t xml:space="preserve"> </w:t>
      </w:r>
      <w:r w:rsidR="00F12A5B">
        <w:t>virtual machines</w:t>
      </w:r>
      <w:r w:rsidR="00D80228">
        <w:t xml:space="preserve"> on a single host</w:t>
      </w:r>
      <w:r>
        <w:t xml:space="preserve">, the power usage per server is effectively </w:t>
      </w:r>
      <w:r w:rsidR="00D80228">
        <w:t>one fourth, and with 10 it is effectively one tenth</w:t>
      </w:r>
      <w:r>
        <w:t xml:space="preserve">. Organizations could see even more dramatic savings by increasing the number of </w:t>
      </w:r>
      <w:r w:rsidR="00F12A5B">
        <w:t>virtual machines</w:t>
      </w:r>
      <w:r>
        <w:t xml:space="preserve"> running on each physical host, as performance considerations allow. </w:t>
      </w:r>
    </w:p>
    <w:p w:rsidR="00282190" w:rsidRDefault="00282190" w:rsidP="00B96E6F">
      <w:pPr>
        <w:pStyle w:val="Text"/>
      </w:pPr>
    </w:p>
    <w:p w:rsidR="00E63013" w:rsidRDefault="00E63013" w:rsidP="00E63013">
      <w:pPr>
        <w:pStyle w:val="Heading4"/>
      </w:pPr>
      <w:bookmarkStart w:id="9" w:name="_Ref188342914"/>
      <w:bookmarkStart w:id="10" w:name="_Toc200357134"/>
      <w:r>
        <w:t>Managing Server and Client Power Usage with Group Policy</w:t>
      </w:r>
      <w:bookmarkEnd w:id="9"/>
      <w:bookmarkEnd w:id="10"/>
    </w:p>
    <w:p w:rsidR="00E63013" w:rsidRDefault="00EB2F3F" w:rsidP="00B96E6F">
      <w:pPr>
        <w:pStyle w:val="Text"/>
      </w:pPr>
      <w:r>
        <w:t>On capable systems</w:t>
      </w:r>
      <w:r w:rsidR="00E63013">
        <w:t xml:space="preserve">, the standard OOB </w:t>
      </w:r>
      <w:r>
        <w:t xml:space="preserve">configuration of </w:t>
      </w:r>
      <w:r w:rsidR="00E63013">
        <w:t xml:space="preserve">power management </w:t>
      </w:r>
      <w:r>
        <w:t>policy in</w:t>
      </w:r>
      <w:r w:rsidR="00E63013">
        <w:t xml:space="preserve"> Windows Server 2008 automatically </w:t>
      </w:r>
      <w:r>
        <w:t>reduce</w:t>
      </w:r>
      <w:r w:rsidR="00F91A71">
        <w:t>s</w:t>
      </w:r>
      <w:r>
        <w:t xml:space="preserve"> the </w:t>
      </w:r>
      <w:r w:rsidR="001962E7">
        <w:t>P-state</w:t>
      </w:r>
      <w:r w:rsidR="00E63013">
        <w:t xml:space="preserve"> during periods of reduced demand for </w:t>
      </w:r>
      <w:r>
        <w:t>processor resources</w:t>
      </w:r>
      <w:r w:rsidR="00E63013">
        <w:t xml:space="preserve">, and </w:t>
      </w:r>
      <w:r w:rsidR="003E29C3">
        <w:t>increase</w:t>
      </w:r>
      <w:r w:rsidR="00285435">
        <w:t>s</w:t>
      </w:r>
      <w:r w:rsidR="003E29C3">
        <w:t xml:space="preserve"> the </w:t>
      </w:r>
      <w:r>
        <w:t xml:space="preserve">performance level </w:t>
      </w:r>
      <w:r w:rsidR="0084530A">
        <w:t xml:space="preserve">automatically </w:t>
      </w:r>
      <w:r w:rsidR="00E63013">
        <w:t xml:space="preserve">during periods of higher demand. </w:t>
      </w:r>
      <w:r w:rsidR="009736E1">
        <w:t xml:space="preserve">In general, this standard configuration should be appropriate for most usage scenarios. </w:t>
      </w:r>
      <w:r w:rsidR="008A6538">
        <w:t>In some cases, however,</w:t>
      </w:r>
      <w:r w:rsidR="00E63013">
        <w:t xml:space="preserve"> circumstances </w:t>
      </w:r>
      <w:r w:rsidR="008A6538">
        <w:t>might</w:t>
      </w:r>
      <w:r w:rsidR="00E63013">
        <w:t xml:space="preserve"> require a server to run continuously at </w:t>
      </w:r>
      <w:r w:rsidR="008A6538">
        <w:t xml:space="preserve">a certain </w:t>
      </w:r>
      <w:r>
        <w:t xml:space="preserve">performance </w:t>
      </w:r>
      <w:r w:rsidR="008A6538">
        <w:t>level</w:t>
      </w:r>
      <w:r w:rsidR="00E63013">
        <w:t xml:space="preserve">, or </w:t>
      </w:r>
      <w:r w:rsidR="008A6538">
        <w:t xml:space="preserve">to not exceed a specified minimum or maximum </w:t>
      </w:r>
      <w:r w:rsidR="0084530A">
        <w:t xml:space="preserve">performance </w:t>
      </w:r>
      <w:r w:rsidR="008A6538">
        <w:t>level.</w:t>
      </w:r>
      <w:r w:rsidR="00E63013">
        <w:t xml:space="preserve"> </w:t>
      </w:r>
      <w:r w:rsidR="008A6538">
        <w:t>For example,</w:t>
      </w:r>
      <w:r w:rsidR="00E63013">
        <w:t xml:space="preserve"> a server that handles non-critical batch jobs as its primary workload</w:t>
      </w:r>
      <w:r w:rsidR="008C52A0">
        <w:t xml:space="preserve"> </w:t>
      </w:r>
      <w:r w:rsidR="008A6538">
        <w:t xml:space="preserve">might be </w:t>
      </w:r>
      <w:r>
        <w:t xml:space="preserve">configured </w:t>
      </w:r>
      <w:r w:rsidR="008A6538">
        <w:t xml:space="preserve">to </w:t>
      </w:r>
      <w:r>
        <w:t xml:space="preserve">remain </w:t>
      </w:r>
      <w:r w:rsidR="001962E7">
        <w:t>at</w:t>
      </w:r>
      <w:r>
        <w:t xml:space="preserve"> </w:t>
      </w:r>
      <w:r w:rsidR="008A6538">
        <w:t xml:space="preserve">a lower </w:t>
      </w:r>
      <w:r>
        <w:t>performance</w:t>
      </w:r>
      <w:r w:rsidR="008A6538">
        <w:t xml:space="preserve"> level </w:t>
      </w:r>
      <w:r>
        <w:t xml:space="preserve">regardless of </w:t>
      </w:r>
      <w:r w:rsidR="008A6538">
        <w:t>transient spikes in processor activity</w:t>
      </w:r>
      <w:r w:rsidR="00E63013">
        <w:t xml:space="preserve">. </w:t>
      </w:r>
    </w:p>
    <w:p w:rsidR="00E63013" w:rsidRDefault="00E63013" w:rsidP="00B96E6F">
      <w:pPr>
        <w:pStyle w:val="Text"/>
      </w:pPr>
    </w:p>
    <w:p w:rsidR="00E63013" w:rsidRDefault="00F75A62" w:rsidP="00E63013">
      <w:pPr>
        <w:pStyle w:val="Figure"/>
        <w:rPr>
          <w:noProof/>
        </w:rPr>
      </w:pPr>
      <w:r>
        <w:rPr>
          <w:noProof/>
        </w:rPr>
        <w:lastRenderedPageBreak/>
        <w:drawing>
          <wp:inline distT="0" distB="0" distL="0" distR="0">
            <wp:extent cx="3886200" cy="4105275"/>
            <wp:effectExtent l="19050" t="0" r="0" b="0"/>
            <wp:docPr id="6" name="Picture 3" descr="PPM_W2K8_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M_W2K8_Screenshot"/>
                    <pic:cNvPicPr>
                      <a:picLocks noChangeAspect="1" noChangeArrowheads="1"/>
                    </pic:cNvPicPr>
                  </pic:nvPicPr>
                  <pic:blipFill>
                    <a:blip r:embed="rId16"/>
                    <a:srcRect/>
                    <a:stretch>
                      <a:fillRect/>
                    </a:stretch>
                  </pic:blipFill>
                  <pic:spPr bwMode="auto">
                    <a:xfrm>
                      <a:off x="0" y="0"/>
                      <a:ext cx="3886200" cy="4105275"/>
                    </a:xfrm>
                    <a:prstGeom prst="rect">
                      <a:avLst/>
                    </a:prstGeom>
                    <a:noFill/>
                    <a:ln w="9525">
                      <a:noFill/>
                      <a:miter lim="800000"/>
                      <a:headEnd/>
                      <a:tailEnd/>
                    </a:ln>
                  </pic:spPr>
                </pic:pic>
              </a:graphicData>
            </a:graphic>
          </wp:inline>
        </w:drawing>
      </w:r>
    </w:p>
    <w:p w:rsidR="00E63013" w:rsidRDefault="00D07057" w:rsidP="00AE6767">
      <w:pPr>
        <w:pStyle w:val="Caption"/>
      </w:pPr>
      <w:bookmarkStart w:id="11" w:name="_Ref186601368"/>
      <w:r>
        <w:t xml:space="preserve">Figure </w:t>
      </w:r>
      <w:r w:rsidR="0023106A">
        <w:fldChar w:fldCharType="begin"/>
      </w:r>
      <w:r>
        <w:instrText xml:space="preserve"> SEQ Figure \* ARABIC </w:instrText>
      </w:r>
      <w:r w:rsidR="0023106A">
        <w:fldChar w:fldCharType="separate"/>
      </w:r>
      <w:r w:rsidR="002F0751">
        <w:rPr>
          <w:noProof/>
        </w:rPr>
        <w:t>8</w:t>
      </w:r>
      <w:r w:rsidR="0023106A">
        <w:fldChar w:fldCharType="end"/>
      </w:r>
      <w:bookmarkEnd w:id="11"/>
      <w:r w:rsidR="00163D66">
        <w:t>:</w:t>
      </w:r>
      <w:r w:rsidR="00E63013" w:rsidRPr="00C90EB4">
        <w:t xml:space="preserve"> Setting minimum and maximum processor states </w:t>
      </w:r>
      <w:r w:rsidR="00E63013">
        <w:t xml:space="preserve">under Advanced Settings </w:t>
      </w:r>
      <w:r w:rsidR="00E63013" w:rsidRPr="00C90EB4">
        <w:t>in Windows</w:t>
      </w:r>
      <w:r w:rsidR="00E63013">
        <w:t> </w:t>
      </w:r>
      <w:r w:rsidR="00E63013" w:rsidRPr="00C90EB4">
        <w:t>Server</w:t>
      </w:r>
      <w:r w:rsidR="00E63013">
        <w:t> </w:t>
      </w:r>
      <w:r w:rsidR="00E63013" w:rsidRPr="00C90EB4">
        <w:t>2008</w:t>
      </w:r>
    </w:p>
    <w:p w:rsidR="00E63013" w:rsidRPr="005E0D3B" w:rsidRDefault="00E63013" w:rsidP="00B96E6F">
      <w:pPr>
        <w:pStyle w:val="Text"/>
      </w:pPr>
    </w:p>
    <w:p w:rsidR="00E63013" w:rsidRDefault="00471194" w:rsidP="00B96E6F">
      <w:pPr>
        <w:pStyle w:val="Text"/>
      </w:pPr>
      <w:r>
        <w:t xml:space="preserve">In scenarios where continuous full power is not a requirement, </w:t>
      </w:r>
      <w:r w:rsidR="00E63013">
        <w:t xml:space="preserve">Windows Server 2008 processor power management settings can be implemented on </w:t>
      </w:r>
      <w:r w:rsidR="00E8585D">
        <w:t xml:space="preserve">Windows </w:t>
      </w:r>
      <w:r w:rsidR="00E63013">
        <w:t>servers and desktops using Group Policy Objects (GPOs). This would allow an administrator to easily implement an enterprise-wide</w:t>
      </w:r>
      <w:r w:rsidR="00B57E72">
        <w:t xml:space="preserve"> and centrally-controlled</w:t>
      </w:r>
      <w:r w:rsidR="00E63013">
        <w:t xml:space="preserve"> power saving scheme. </w:t>
      </w:r>
      <w:r w:rsidR="00823F70">
        <w:t>Figure 8</w:t>
      </w:r>
      <w:r w:rsidR="00B57E72">
        <w:t xml:space="preserve"> provides an example of this configuration with Active Directory </w:t>
      </w:r>
      <w:r w:rsidR="00823F70">
        <w:t>in</w:t>
      </w:r>
      <w:r w:rsidR="00B57E72">
        <w:t xml:space="preserve"> a Windows Server 2008 environment.</w:t>
      </w:r>
    </w:p>
    <w:p w:rsidR="00E63013" w:rsidRDefault="00E63013" w:rsidP="00B96E6F">
      <w:pPr>
        <w:pStyle w:val="Text"/>
      </w:pPr>
      <w:r>
        <w:t xml:space="preserve">To take advantage of the advanced CPU throttling features of Windows Server 2008, </w:t>
      </w:r>
      <w:proofErr w:type="gramStart"/>
      <w:r>
        <w:t>your</w:t>
      </w:r>
      <w:proofErr w:type="gramEnd"/>
      <w:r>
        <w:t xml:space="preserve"> CPU and BIOS must comply with the ACPI specification for processor performance states. Consult your hardware manufacturer’s documentation to determine if your CPU and BIOS are capable of supporting </w:t>
      </w:r>
      <w:r w:rsidR="00952680">
        <w:t xml:space="preserve">multiple </w:t>
      </w:r>
      <w:r>
        <w:t>P</w:t>
      </w:r>
      <w:r w:rsidR="00B7455C">
        <w:t>-</w:t>
      </w:r>
      <w:r>
        <w:t xml:space="preserve">states, and, if so, how to enable the feature. If your current hardware cannot support </w:t>
      </w:r>
      <w:r w:rsidR="00A358B4">
        <w:t xml:space="preserve">multiple </w:t>
      </w:r>
      <w:r>
        <w:t xml:space="preserve">P-states, you may still be able to take advantage of other power management features in Windows Server 2008 (see </w:t>
      </w:r>
      <w:r w:rsidR="00823F70">
        <w:t>“Managing Power Usage on Windows Vista Clients”</w:t>
      </w:r>
      <w:r>
        <w:t xml:space="preserve">). </w:t>
      </w:r>
    </w:p>
    <w:p w:rsidR="00E63013" w:rsidRDefault="00E63013" w:rsidP="00AE6767">
      <w:pPr>
        <w:pStyle w:val="Heading4"/>
      </w:pPr>
      <w:bookmarkStart w:id="12" w:name="_Toc200357135"/>
      <w:r>
        <w:t>Managing Power Usage on Windows Vista Clients</w:t>
      </w:r>
      <w:bookmarkEnd w:id="12"/>
    </w:p>
    <w:p w:rsidR="00E63013" w:rsidRDefault="00E63013" w:rsidP="00E63013">
      <w:pPr>
        <w:pStyle w:val="Text"/>
      </w:pPr>
      <w:r>
        <w:t xml:space="preserve">Enterprise users often leave their computers on overnight, either by choice or to comply with IT policy. This can allow administrative tasks like disk defragmenting, virus scanning, and software update downloading and installation to execute without disruption. However, leaving desktop computers on at night and on weekends can waste thousands of kilowatt-hours of electricity every year even in small and medium-size organizations. Using Windows Server 2008 and Group Policy, you can centrally manage the power </w:t>
      </w:r>
      <w:r w:rsidR="00074EB4">
        <w:t xml:space="preserve">policy </w:t>
      </w:r>
      <w:r>
        <w:t xml:space="preserve">of compatible </w:t>
      </w:r>
      <w:r>
        <w:lastRenderedPageBreak/>
        <w:t xml:space="preserve">client workstations running Microsoft Windows Vista®, which includes the same power-management features that have been introduced in Windows Server 2008. </w:t>
      </w:r>
      <w:r w:rsidR="009736E1">
        <w:t>For example, you can configure computers to automatically enter a sleep state after a specified period of inactivity</w:t>
      </w:r>
      <w:r>
        <w:t xml:space="preserve">, and you can use PPM </w:t>
      </w:r>
      <w:r w:rsidR="00ED3369">
        <w:t xml:space="preserve">power policy </w:t>
      </w:r>
      <w:r>
        <w:t xml:space="preserve">to specify the range of P-states at which the client can operate. </w:t>
      </w:r>
    </w:p>
    <w:p w:rsidR="00282190" w:rsidRDefault="00282190" w:rsidP="00E63013">
      <w:pPr>
        <w:pStyle w:val="Text"/>
      </w:pPr>
    </w:p>
    <w:p w:rsidR="00315F30" w:rsidRDefault="00F75A62">
      <w:pPr>
        <w:pStyle w:val="Figure"/>
      </w:pPr>
      <w:r>
        <w:rPr>
          <w:noProof/>
        </w:rPr>
        <w:drawing>
          <wp:inline distT="0" distB="0" distL="0" distR="0">
            <wp:extent cx="2790825" cy="31432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790825" cy="3143250"/>
                    </a:xfrm>
                    <a:prstGeom prst="rect">
                      <a:avLst/>
                    </a:prstGeom>
                    <a:noFill/>
                    <a:ln w="9525">
                      <a:noFill/>
                      <a:miter lim="800000"/>
                      <a:headEnd/>
                      <a:tailEnd/>
                    </a:ln>
                  </pic:spPr>
                </pic:pic>
              </a:graphicData>
            </a:graphic>
          </wp:inline>
        </w:drawing>
      </w:r>
      <w:r w:rsidR="00282190">
        <w:rPr>
          <w:noProof/>
        </w:rPr>
        <w:drawing>
          <wp:inline distT="0" distB="0" distL="0" distR="0">
            <wp:extent cx="2942584" cy="3139695"/>
            <wp:effectExtent l="19050" t="0" r="0" b="0"/>
            <wp:docPr id="1" name="Picture 0" descr="delet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eteme.png"/>
                    <pic:cNvPicPr/>
                  </pic:nvPicPr>
                  <pic:blipFill>
                    <a:blip r:embed="rId18"/>
                    <a:stretch>
                      <a:fillRect/>
                    </a:stretch>
                  </pic:blipFill>
                  <pic:spPr>
                    <a:xfrm>
                      <a:off x="0" y="0"/>
                      <a:ext cx="2942584" cy="3139695"/>
                    </a:xfrm>
                    <a:prstGeom prst="rect">
                      <a:avLst/>
                    </a:prstGeom>
                  </pic:spPr>
                </pic:pic>
              </a:graphicData>
            </a:graphic>
          </wp:inline>
        </w:drawing>
      </w:r>
    </w:p>
    <w:p w:rsidR="00E63013" w:rsidRDefault="00D07057"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9</w:t>
      </w:r>
      <w:r w:rsidR="0023106A">
        <w:fldChar w:fldCharType="end"/>
      </w:r>
      <w:r w:rsidR="00E85960">
        <w:t>: Power management options in Windows XP, left, and Windows Vista, right</w:t>
      </w:r>
    </w:p>
    <w:p w:rsidR="00282190" w:rsidRDefault="00282190" w:rsidP="00E63013">
      <w:pPr>
        <w:pStyle w:val="Text"/>
      </w:pPr>
    </w:p>
    <w:p w:rsidR="00E85960" w:rsidRDefault="00823F70" w:rsidP="00E63013">
      <w:pPr>
        <w:pStyle w:val="Text"/>
      </w:pPr>
      <w:r>
        <w:t xml:space="preserve">In contrast to the limited selection of power management options available in </w:t>
      </w:r>
      <w:r w:rsidR="00285435">
        <w:t xml:space="preserve">the </w:t>
      </w:r>
      <w:r>
        <w:t>Microsoft Windows® XP Power Options Properties dialog, t</w:t>
      </w:r>
      <w:r w:rsidR="00E85960">
        <w:t xml:space="preserve">he Power Options dialog in Windows </w:t>
      </w:r>
      <w:r w:rsidR="00CD2EDB">
        <w:t>Vista offers</w:t>
      </w:r>
      <w:r w:rsidR="00DA3C3A">
        <w:t xml:space="preserve"> direct control over a much greater number of options, including:</w:t>
      </w:r>
      <w:r w:rsidR="00FA1425">
        <w:rPr>
          <w:rStyle w:val="FootnoteReference"/>
        </w:rPr>
        <w:footnoteReference w:id="8"/>
      </w:r>
    </w:p>
    <w:p w:rsidR="00E63013" w:rsidRPr="00681D60" w:rsidRDefault="00E63013" w:rsidP="00B96E6F">
      <w:pPr>
        <w:pStyle w:val="BulletedList1"/>
      </w:pPr>
      <w:r w:rsidRPr="00681D60">
        <w:t xml:space="preserve">Wireless adapter </w:t>
      </w:r>
      <w:r w:rsidR="00DA3C3A">
        <w:t xml:space="preserve">power </w:t>
      </w:r>
      <w:r w:rsidRPr="00681D60">
        <w:t xml:space="preserve">settings </w:t>
      </w:r>
    </w:p>
    <w:p w:rsidR="00E63013" w:rsidRPr="00681D60" w:rsidRDefault="005B6095" w:rsidP="00B96E6F">
      <w:pPr>
        <w:pStyle w:val="BulletedList1"/>
      </w:pPr>
      <w:r>
        <w:t xml:space="preserve">Allow hybrid sleep (a state in which the computer writes the contents of </w:t>
      </w:r>
      <w:smartTag w:uri="urn:schemas-microsoft-com:office:smarttags" w:element="stockticker">
        <w:r>
          <w:t>RAM</w:t>
        </w:r>
      </w:smartTag>
      <w:r>
        <w:t xml:space="preserve"> to disk before going to sleep)</w:t>
      </w:r>
    </w:p>
    <w:p w:rsidR="00E63013" w:rsidRPr="00681D60" w:rsidRDefault="00E63013" w:rsidP="00B96E6F">
      <w:pPr>
        <w:pStyle w:val="BulletedList1"/>
      </w:pPr>
      <w:smartTag w:uri="urn:schemas-microsoft-com:office:smarttags" w:element="stockticker">
        <w:r w:rsidRPr="00681D60">
          <w:t>USB</w:t>
        </w:r>
      </w:smartTag>
      <w:r w:rsidRPr="00681D60">
        <w:t xml:space="preserve"> </w:t>
      </w:r>
      <w:r w:rsidR="005B6095">
        <w:t>s</w:t>
      </w:r>
      <w:r w:rsidRPr="00681D60">
        <w:t xml:space="preserve">elective suspend </w:t>
      </w:r>
    </w:p>
    <w:p w:rsidR="00E63013" w:rsidRPr="00681D60" w:rsidRDefault="00E63013" w:rsidP="00B96E6F">
      <w:pPr>
        <w:pStyle w:val="BulletedList1"/>
      </w:pPr>
      <w:r w:rsidRPr="00681D60">
        <w:t xml:space="preserve">PCI Express </w:t>
      </w:r>
      <w:r w:rsidR="005B6095">
        <w:t>bus power management</w:t>
      </w:r>
      <w:r w:rsidRPr="00681D60">
        <w:t xml:space="preserve"> </w:t>
      </w:r>
    </w:p>
    <w:p w:rsidR="00E63013" w:rsidRPr="00681D60" w:rsidRDefault="00E63013" w:rsidP="00B96E6F">
      <w:pPr>
        <w:pStyle w:val="BulletedList1"/>
      </w:pPr>
      <w:r w:rsidRPr="00681D60">
        <w:t xml:space="preserve">Minimum </w:t>
      </w:r>
      <w:r w:rsidR="005B6095">
        <w:t>and maximum p</w:t>
      </w:r>
      <w:r w:rsidRPr="00681D60">
        <w:t xml:space="preserve">rocessor </w:t>
      </w:r>
      <w:r w:rsidR="005B6095">
        <w:t>s</w:t>
      </w:r>
      <w:r w:rsidRPr="00681D60">
        <w:t xml:space="preserve">tate  </w:t>
      </w:r>
    </w:p>
    <w:p w:rsidR="005B6095" w:rsidRDefault="005B6095" w:rsidP="00B96E6F">
      <w:pPr>
        <w:pStyle w:val="BulletedList1"/>
      </w:pPr>
      <w:r>
        <w:t>Power savings mode for s</w:t>
      </w:r>
      <w:r w:rsidR="00E63013" w:rsidRPr="00681D60">
        <w:t xml:space="preserve">earch and </w:t>
      </w:r>
      <w:r>
        <w:t>i</w:t>
      </w:r>
      <w:r w:rsidR="00E63013" w:rsidRPr="00681D60">
        <w:t>ndexing</w:t>
      </w:r>
    </w:p>
    <w:p w:rsidR="00947DB0" w:rsidRDefault="00E63013" w:rsidP="00947DB0">
      <w:pPr>
        <w:pStyle w:val="BulletedList1"/>
      </w:pPr>
      <w:r w:rsidRPr="00681D60">
        <w:t>Adaptive display</w:t>
      </w:r>
      <w:r w:rsidR="005B6095">
        <w:t xml:space="preserve"> control</w:t>
      </w:r>
      <w:r w:rsidRPr="00681D60">
        <w:t xml:space="preserve"> </w:t>
      </w:r>
    </w:p>
    <w:p w:rsidR="00E63013" w:rsidRDefault="00E63013" w:rsidP="00E63013">
      <w:pPr>
        <w:pStyle w:val="Text"/>
      </w:pPr>
      <w:r w:rsidRPr="00E35E9B">
        <w:t>Windows Server 2008</w:t>
      </w:r>
      <w:r w:rsidR="00805341">
        <w:t xml:space="preserve"> makes it easy</w:t>
      </w:r>
      <w:r w:rsidRPr="00E35E9B">
        <w:t xml:space="preserve"> to </w:t>
      </w:r>
      <w:r w:rsidR="00FA1425">
        <w:t>create</w:t>
      </w:r>
      <w:r w:rsidR="00805341">
        <w:t>, distribute,</w:t>
      </w:r>
      <w:r w:rsidR="00FA1425">
        <w:t xml:space="preserve"> and manage</w:t>
      </w:r>
      <w:r w:rsidR="00FA1425" w:rsidRPr="00E35E9B">
        <w:t xml:space="preserve"> </w:t>
      </w:r>
      <w:r w:rsidRPr="00E35E9B">
        <w:t xml:space="preserve">policy </w:t>
      </w:r>
      <w:r w:rsidR="00FA1425">
        <w:t>for</w:t>
      </w:r>
      <w:r w:rsidR="00FA1425" w:rsidRPr="00E35E9B">
        <w:t xml:space="preserve"> </w:t>
      </w:r>
      <w:r w:rsidRPr="00E35E9B">
        <w:t>both Windows XP and Windows Vista clients across the entire spectrum of devices that each can manage. The combination of Windows Server 2008 and Vista Clients offers administrators</w:t>
      </w:r>
      <w:r>
        <w:t xml:space="preserve"> the greatest potential and greatest flexibility in implementing power-saving policies.</w:t>
      </w:r>
    </w:p>
    <w:p w:rsidR="00C444DC" w:rsidRDefault="00282190" w:rsidP="00C444DC">
      <w:pPr>
        <w:pStyle w:val="Figure"/>
      </w:pPr>
      <w:r>
        <w:rPr>
          <w:noProof/>
        </w:rPr>
        <w:lastRenderedPageBreak/>
        <w:drawing>
          <wp:inline distT="0" distB="0" distL="0" distR="0">
            <wp:extent cx="6035040" cy="4384675"/>
            <wp:effectExtent l="19050" t="0" r="3810" b="0"/>
            <wp:docPr id="5" name="Picture 4" descr="GPO-P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O-Power.PNG"/>
                    <pic:cNvPicPr/>
                  </pic:nvPicPr>
                  <pic:blipFill>
                    <a:blip r:embed="rId19"/>
                    <a:stretch>
                      <a:fillRect/>
                    </a:stretch>
                  </pic:blipFill>
                  <pic:spPr>
                    <a:xfrm>
                      <a:off x="0" y="0"/>
                      <a:ext cx="6035040" cy="4384675"/>
                    </a:xfrm>
                    <a:prstGeom prst="rect">
                      <a:avLst/>
                    </a:prstGeom>
                  </pic:spPr>
                </pic:pic>
              </a:graphicData>
            </a:graphic>
          </wp:inline>
        </w:drawing>
      </w:r>
    </w:p>
    <w:p w:rsidR="00C444DC" w:rsidRDefault="00D07057" w:rsidP="00AE6767">
      <w:pPr>
        <w:pStyle w:val="Caption"/>
      </w:pPr>
      <w:r>
        <w:t xml:space="preserve">Figure </w:t>
      </w:r>
      <w:r w:rsidR="0023106A">
        <w:fldChar w:fldCharType="begin"/>
      </w:r>
      <w:r>
        <w:instrText xml:space="preserve"> SEQ Figure \* ARABIC </w:instrText>
      </w:r>
      <w:r w:rsidR="0023106A">
        <w:fldChar w:fldCharType="separate"/>
      </w:r>
      <w:r w:rsidR="002F0751">
        <w:rPr>
          <w:noProof/>
        </w:rPr>
        <w:t>10</w:t>
      </w:r>
      <w:r w:rsidR="0023106A">
        <w:fldChar w:fldCharType="end"/>
      </w:r>
      <w:r w:rsidR="00163D66">
        <w:t>:</w:t>
      </w:r>
      <w:r>
        <w:t xml:space="preserve"> Group Policy Editor </w:t>
      </w:r>
      <w:r w:rsidR="00163D66">
        <w:t>i</w:t>
      </w:r>
      <w:r>
        <w:t xml:space="preserve">n Windows Server 2008 can be used to manage power saving features </w:t>
      </w:r>
      <w:r w:rsidR="00163D66">
        <w:t>i</w:t>
      </w:r>
      <w:r>
        <w:t>n Windows Vista</w:t>
      </w:r>
    </w:p>
    <w:p w:rsidR="000D7FEE" w:rsidRDefault="000D7FEE" w:rsidP="000D7FEE">
      <w:pPr>
        <w:spacing w:before="0" w:after="0" w:line="240" w:lineRule="auto"/>
      </w:pPr>
    </w:p>
    <w:p w:rsidR="000D7FEE" w:rsidRDefault="000D7FEE" w:rsidP="000D7FEE">
      <w:pPr>
        <w:spacing w:before="0" w:after="0" w:line="240" w:lineRule="auto"/>
      </w:pPr>
    </w:p>
    <w:p w:rsidR="000D7FEE" w:rsidRDefault="000D7FEE" w:rsidP="000D7FEE">
      <w:pPr>
        <w:spacing w:before="0" w:after="0" w:line="240" w:lineRule="auto"/>
      </w:pPr>
    </w:p>
    <w:p w:rsidR="000D7FEE" w:rsidRDefault="0036100A" w:rsidP="000D7FEE">
      <w:pPr>
        <w:pStyle w:val="Heading4"/>
      </w:pPr>
      <w:bookmarkStart w:id="13" w:name="_Toc200357136"/>
      <w:r>
        <w:t>Appendix D</w:t>
      </w:r>
      <w:r w:rsidR="000D7FEE">
        <w:t>ata</w:t>
      </w:r>
      <w:bookmarkEnd w:id="13"/>
    </w:p>
    <w:p w:rsidR="000D7FEE" w:rsidRPr="000D7FEE" w:rsidRDefault="000D7FEE" w:rsidP="000D7FEE">
      <w:pPr>
        <w:spacing w:before="0" w:after="0" w:line="240" w:lineRule="auto"/>
      </w:pPr>
      <w:r w:rsidRPr="000D7FEE">
        <w:t>For specific information on test results data, the following appendix data is available for download</w:t>
      </w:r>
      <w:r w:rsidR="0036100A">
        <w:t>:</w:t>
      </w:r>
    </w:p>
    <w:p w:rsidR="000D7FEE" w:rsidRPr="000D7FEE" w:rsidRDefault="000D7FEE" w:rsidP="000D7FEE">
      <w:pPr>
        <w:spacing w:before="0" w:after="0" w:line="240" w:lineRule="auto"/>
        <w:rPr>
          <w:b/>
          <w:kern w:val="24"/>
          <w:sz w:val="28"/>
        </w:rPr>
      </w:pPr>
    </w:p>
    <w:p w:rsidR="00E63013" w:rsidRPr="000D7FEE" w:rsidRDefault="00E63013" w:rsidP="000D7FEE">
      <w:pPr>
        <w:pStyle w:val="ListParagraph"/>
        <w:numPr>
          <w:ilvl w:val="0"/>
          <w:numId w:val="36"/>
        </w:numPr>
        <w:spacing w:before="0" w:after="0" w:line="240" w:lineRule="auto"/>
        <w:rPr>
          <w:kern w:val="24"/>
          <w:sz w:val="28"/>
        </w:rPr>
      </w:pPr>
      <w:r w:rsidRPr="000D7FEE">
        <w:rPr>
          <w:kern w:val="24"/>
          <w:sz w:val="28"/>
        </w:rPr>
        <w:t>Appendix A - Test Results Spreadsheet</w:t>
      </w:r>
      <w:r w:rsidR="00B941FD" w:rsidRPr="000D7FEE">
        <w:rPr>
          <w:kern w:val="24"/>
          <w:sz w:val="28"/>
        </w:rPr>
        <w:t xml:space="preserve"> </w:t>
      </w:r>
    </w:p>
    <w:p w:rsidR="00E63013" w:rsidRPr="000D7FEE" w:rsidRDefault="00E63013" w:rsidP="000D7FEE">
      <w:pPr>
        <w:pStyle w:val="Heading4"/>
        <w:numPr>
          <w:ilvl w:val="0"/>
          <w:numId w:val="36"/>
        </w:numPr>
        <w:rPr>
          <w:b w:val="0"/>
        </w:rPr>
      </w:pPr>
      <w:bookmarkStart w:id="14" w:name="_Toc200357137"/>
      <w:r w:rsidRPr="000D7FEE">
        <w:rPr>
          <w:b w:val="0"/>
        </w:rPr>
        <w:t>Appendix</w:t>
      </w:r>
      <w:r w:rsidR="00E75905" w:rsidRPr="000D7FEE">
        <w:rPr>
          <w:b w:val="0"/>
        </w:rPr>
        <w:t> B</w:t>
      </w:r>
      <w:r w:rsidRPr="000D7FEE">
        <w:rPr>
          <w:b w:val="0"/>
        </w:rPr>
        <w:t xml:space="preserve"> – System Information</w:t>
      </w:r>
      <w:r w:rsidR="00FE0368" w:rsidRPr="000D7FEE">
        <w:rPr>
          <w:b w:val="0"/>
        </w:rPr>
        <w:t xml:space="preserve"> and Test Tools</w:t>
      </w:r>
      <w:bookmarkEnd w:id="14"/>
    </w:p>
    <w:p w:rsidR="00E63013" w:rsidRPr="000D7FEE" w:rsidRDefault="00E75905" w:rsidP="000D7FEE">
      <w:pPr>
        <w:pStyle w:val="Heading4"/>
        <w:numPr>
          <w:ilvl w:val="0"/>
          <w:numId w:val="36"/>
        </w:numPr>
        <w:rPr>
          <w:b w:val="0"/>
        </w:rPr>
      </w:pPr>
      <w:bookmarkStart w:id="15" w:name="_Toc200357138"/>
      <w:r w:rsidRPr="000D7FEE">
        <w:rPr>
          <w:b w:val="0"/>
        </w:rPr>
        <w:t>Appendix C</w:t>
      </w:r>
      <w:r w:rsidR="00E63013" w:rsidRPr="000D7FEE">
        <w:rPr>
          <w:b w:val="0"/>
        </w:rPr>
        <w:t xml:space="preserve"> – </w:t>
      </w:r>
      <w:r w:rsidR="00FE0368" w:rsidRPr="000D7FEE">
        <w:rPr>
          <w:b w:val="0"/>
        </w:rPr>
        <w:t>Throughput</w:t>
      </w:r>
      <w:bookmarkEnd w:id="15"/>
    </w:p>
    <w:p w:rsidR="00E63013" w:rsidRPr="0012237B" w:rsidRDefault="00E63013" w:rsidP="00B96E6F">
      <w:pPr>
        <w:rPr>
          <w:rFonts w:cs="Arial"/>
        </w:rPr>
      </w:pPr>
    </w:p>
    <w:sectPr w:rsidR="00E63013" w:rsidRPr="0012237B" w:rsidSect="001409EA">
      <w:footerReference w:type="default" r:id="rId20"/>
      <w:pgSz w:w="12240" w:h="15840" w:code="1"/>
      <w:pgMar w:top="1440" w:right="1296"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DB" w:rsidRDefault="00CD2EDB" w:rsidP="00E63013">
      <w:pPr>
        <w:spacing w:before="0" w:after="0" w:line="240" w:lineRule="auto"/>
      </w:pPr>
      <w:r>
        <w:separator/>
      </w:r>
    </w:p>
  </w:endnote>
  <w:endnote w:type="continuationSeparator" w:id="1">
    <w:p w:rsidR="00CD2EDB" w:rsidRDefault="00CD2EDB" w:rsidP="00E6301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Tahom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Logo 95">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DB" w:rsidRDefault="0023106A" w:rsidP="005A1C7D">
    <w:pPr>
      <w:pStyle w:val="Footer"/>
      <w:framePr w:wrap="around" w:vAnchor="text" w:hAnchor="margin" w:xAlign="right" w:y="1"/>
    </w:pPr>
    <w:r>
      <w:fldChar w:fldCharType="begin"/>
    </w:r>
    <w:r w:rsidR="00CD2EDB">
      <w:instrText xml:space="preserve">PAGE  </w:instrText>
    </w:r>
    <w:r>
      <w:fldChar w:fldCharType="end"/>
    </w:r>
  </w:p>
  <w:p w:rsidR="00CD2EDB" w:rsidRDefault="00CD2EDB" w:rsidP="005A1C7D">
    <w:pPr>
      <w:pStyle w:val="Footer"/>
      <w:ind w:right="360"/>
    </w:pPr>
  </w:p>
  <w:p w:rsidR="00CD2EDB" w:rsidRDefault="00CD2E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DB" w:rsidRPr="005402DC" w:rsidRDefault="00CD2EDB" w:rsidP="004B6DE9">
    <w:pPr>
      <w:pStyle w:val="Footer"/>
      <w:jc w:val="left"/>
      <w:rPr>
        <w:color w:val="auto"/>
      </w:rPr>
    </w:pPr>
    <w:r>
      <w:t xml:space="preserve"> </w:t>
    </w:r>
    <w:r>
      <w:tab/>
    </w:r>
    <w:r>
      <w:tab/>
    </w:r>
    <w:r>
      <w:tab/>
    </w:r>
    <w:r>
      <w:tab/>
    </w:r>
    <w:r w:rsidRPr="005402DC">
      <w:rPr>
        <w:color w:val="auto"/>
      </w:rPr>
      <w:t xml:space="preserve">Page </w:t>
    </w:r>
    <w:r w:rsidR="0023106A" w:rsidRPr="005402DC">
      <w:rPr>
        <w:color w:val="auto"/>
      </w:rPr>
      <w:fldChar w:fldCharType="begin"/>
    </w:r>
    <w:r w:rsidRPr="005402DC">
      <w:rPr>
        <w:color w:val="auto"/>
      </w:rPr>
      <w:instrText xml:space="preserve"> PAGE </w:instrText>
    </w:r>
    <w:r w:rsidR="0023106A" w:rsidRPr="005402DC">
      <w:rPr>
        <w:color w:val="auto"/>
      </w:rPr>
      <w:fldChar w:fldCharType="separate"/>
    </w:r>
    <w:r w:rsidR="001C7C2C">
      <w:rPr>
        <w:noProof/>
        <w:color w:val="auto"/>
      </w:rPr>
      <w:t>14</w:t>
    </w:r>
    <w:r w:rsidR="0023106A" w:rsidRPr="005402DC">
      <w:rPr>
        <w:color w:val="auto"/>
      </w:rPr>
      <w:fldChar w:fldCharType="end"/>
    </w:r>
    <w:r w:rsidRPr="005402DC">
      <w:rPr>
        <w:color w:val="auto"/>
      </w:rPr>
      <w:t xml:space="preserve"> of </w:t>
    </w:r>
    <w:r w:rsidR="0023106A" w:rsidRPr="005402DC">
      <w:rPr>
        <w:color w:val="auto"/>
      </w:rPr>
      <w:fldChar w:fldCharType="begin"/>
    </w:r>
    <w:r w:rsidRPr="005402DC">
      <w:rPr>
        <w:color w:val="auto"/>
      </w:rPr>
      <w:instrText xml:space="preserve"> NUMPAGES </w:instrText>
    </w:r>
    <w:r w:rsidR="0023106A" w:rsidRPr="005402DC">
      <w:rPr>
        <w:color w:val="auto"/>
      </w:rPr>
      <w:fldChar w:fldCharType="separate"/>
    </w:r>
    <w:r w:rsidR="001C7C2C">
      <w:rPr>
        <w:noProof/>
        <w:color w:val="auto"/>
      </w:rPr>
      <w:t>14</w:t>
    </w:r>
    <w:r w:rsidR="0023106A" w:rsidRPr="005402DC">
      <w:rPr>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DB" w:rsidRDefault="00CD2EDB" w:rsidP="00E63013">
      <w:pPr>
        <w:spacing w:before="0" w:after="0" w:line="240" w:lineRule="auto"/>
      </w:pPr>
      <w:r>
        <w:separator/>
      </w:r>
    </w:p>
  </w:footnote>
  <w:footnote w:type="continuationSeparator" w:id="1">
    <w:p w:rsidR="00CD2EDB" w:rsidRDefault="00CD2EDB" w:rsidP="00E63013">
      <w:pPr>
        <w:spacing w:before="0" w:after="0" w:line="240" w:lineRule="auto"/>
      </w:pPr>
      <w:r>
        <w:continuationSeparator/>
      </w:r>
    </w:p>
  </w:footnote>
  <w:footnote w:id="2">
    <w:p w:rsidR="00CD2EDB" w:rsidRDefault="00CD2EDB">
      <w:pPr>
        <w:pStyle w:val="FootnoteText"/>
      </w:pPr>
      <w:r>
        <w:rPr>
          <w:rStyle w:val="FootnoteReference"/>
          <w:color w:val="auto"/>
        </w:rPr>
        <w:footnoteRef/>
      </w:r>
      <w:r w:rsidRPr="005E0D3B">
        <w:rPr>
          <w:i/>
          <w:color w:val="auto"/>
        </w:rPr>
        <w:t>Estimating Total Power Consumption by Servers in the U.S. and the World</w:t>
      </w:r>
      <w:r w:rsidRPr="005E0D3B">
        <w:rPr>
          <w:color w:val="auto"/>
        </w:rPr>
        <w:t xml:space="preserve">, Jonathan G. </w:t>
      </w:r>
      <w:proofErr w:type="spellStart"/>
      <w:r w:rsidRPr="005E0D3B">
        <w:rPr>
          <w:color w:val="auto"/>
        </w:rPr>
        <w:t>Koomey</w:t>
      </w:r>
      <w:proofErr w:type="spellEnd"/>
      <w:r w:rsidRPr="005E0D3B">
        <w:rPr>
          <w:color w:val="auto"/>
        </w:rPr>
        <w:t xml:space="preserve">, Ph.D., Staff Scientist, Lawrence Berkeley National Laboratory and Consulting Professor, Stanford University, </w:t>
      </w:r>
      <w:smartTag w:uri="urn:schemas-microsoft-com:office:smarttags" w:element="date">
        <w:smartTagPr>
          <w:attr w:name="ls" w:val="trans"/>
          <w:attr w:name="Month" w:val="2"/>
          <w:attr w:name="Day" w:val="15"/>
          <w:attr w:name="Year" w:val="2007"/>
        </w:smartTagPr>
        <w:r w:rsidRPr="005E0D3B">
          <w:rPr>
            <w:color w:val="auto"/>
          </w:rPr>
          <w:t>February 15, 2007</w:t>
        </w:r>
      </w:smartTag>
    </w:p>
  </w:footnote>
  <w:footnote w:id="3">
    <w:p w:rsidR="00CD2EDB" w:rsidRPr="005E0D3B" w:rsidRDefault="00CD2EDB" w:rsidP="00E63013">
      <w:pPr>
        <w:pStyle w:val="CommentText"/>
        <w:rPr>
          <w:color w:val="0000FF"/>
        </w:rPr>
      </w:pPr>
      <w:r>
        <w:rPr>
          <w:rStyle w:val="FootnoteReference"/>
          <w:color w:val="auto"/>
        </w:rPr>
        <w:footnoteRef/>
      </w:r>
      <w:r w:rsidRPr="005E0D3B">
        <w:rPr>
          <w:color w:val="auto"/>
        </w:rPr>
        <w:t xml:space="preserve">Bureau of Labor Statistics:  </w:t>
      </w:r>
      <w:hyperlink r:id="rId1" w:history="1">
        <w:r>
          <w:rPr>
            <w:rStyle w:val="Hyperlink"/>
          </w:rPr>
          <w:t>http://data.bls.gov/cgi-bin/cpicalc.pl</w:t>
        </w:r>
      </w:hyperlink>
    </w:p>
    <w:p w:rsidR="00CD2EDB" w:rsidRDefault="00CD2EDB" w:rsidP="00E63013">
      <w:pPr>
        <w:pStyle w:val="CommentText"/>
      </w:pPr>
    </w:p>
  </w:footnote>
  <w:footnote w:id="4">
    <w:p w:rsidR="00CD2EDB" w:rsidRDefault="00CD2EDB">
      <w:pPr>
        <w:pStyle w:val="FootnoteText"/>
      </w:pPr>
      <w:r w:rsidRPr="000B525A">
        <w:rPr>
          <w:rStyle w:val="FootnoteReference"/>
          <w:color w:val="auto"/>
        </w:rPr>
        <w:footnoteRef/>
      </w:r>
      <w:r w:rsidRPr="000B525A">
        <w:rPr>
          <w:color w:val="auto"/>
        </w:rPr>
        <w:t xml:space="preserve"> </w:t>
      </w:r>
      <w:proofErr w:type="gramStart"/>
      <w:r w:rsidRPr="000B525A">
        <w:rPr>
          <w:color w:val="auto"/>
        </w:rPr>
        <w:t>Power comparison of server unit only.</w:t>
      </w:r>
      <w:proofErr w:type="gramEnd"/>
      <w:r w:rsidRPr="000B525A">
        <w:rPr>
          <w:color w:val="auto"/>
        </w:rPr>
        <w:t xml:space="preserve"> </w:t>
      </w:r>
      <w:proofErr w:type="gramStart"/>
      <w:r w:rsidRPr="000B525A">
        <w:rPr>
          <w:color w:val="auto"/>
        </w:rPr>
        <w:t>Does not include external drive arrays.</w:t>
      </w:r>
      <w:proofErr w:type="gramEnd"/>
      <w:r w:rsidRPr="000B525A">
        <w:rPr>
          <w:color w:val="auto"/>
        </w:rPr>
        <w:t xml:space="preserve"> </w:t>
      </w:r>
    </w:p>
  </w:footnote>
  <w:footnote w:id="5">
    <w:p w:rsidR="00CD2EDB" w:rsidRDefault="00CD2EDB">
      <w:pPr>
        <w:pStyle w:val="FootnoteText"/>
      </w:pPr>
      <w:r w:rsidRPr="000B525A">
        <w:rPr>
          <w:rStyle w:val="FootnoteReference"/>
          <w:color w:val="auto"/>
        </w:rPr>
        <w:footnoteRef/>
      </w:r>
      <w:r w:rsidRPr="000B525A">
        <w:rPr>
          <w:color w:val="auto"/>
        </w:rPr>
        <w:t xml:space="preserve"> NOTE: Power usage will vary with different system units from different vendors</w:t>
      </w:r>
      <w:r>
        <w:rPr>
          <w:color w:val="auto"/>
        </w:rPr>
        <w:t>,</w:t>
      </w:r>
      <w:r w:rsidRPr="000B525A">
        <w:rPr>
          <w:color w:val="auto"/>
        </w:rPr>
        <w:t xml:space="preserve"> as power consumption is dependent on hardware configuration in addition to software.</w:t>
      </w:r>
    </w:p>
  </w:footnote>
  <w:footnote w:id="6">
    <w:p w:rsidR="00CD2EDB" w:rsidRPr="00C66BD0" w:rsidRDefault="00CD2EDB">
      <w:pPr>
        <w:pStyle w:val="FootnoteText"/>
        <w:rPr>
          <w:color w:val="auto"/>
        </w:rPr>
      </w:pPr>
      <w:r w:rsidRPr="00947DB0">
        <w:rPr>
          <w:rStyle w:val="FootnoteReference"/>
          <w:color w:val="auto"/>
        </w:rPr>
        <w:footnoteRef/>
      </w:r>
      <w:r w:rsidRPr="00947DB0">
        <w:rPr>
          <w:color w:val="auto"/>
        </w:rPr>
        <w:t xml:space="preserve"> See </w:t>
      </w:r>
      <w:r w:rsidRPr="00947DB0">
        <w:rPr>
          <w:i/>
          <w:color w:val="auto"/>
        </w:rPr>
        <w:t>Average Retail Price of Electricity to Ultimate Customers by End-Use Sector, by State</w:t>
      </w:r>
      <w:r w:rsidRPr="00947DB0">
        <w:rPr>
          <w:color w:val="auto"/>
        </w:rPr>
        <w:t xml:space="preserve"> (</w:t>
      </w:r>
      <w:hyperlink r:id="rId2" w:history="1">
        <w:r w:rsidRPr="00A07B9F">
          <w:rPr>
            <w:rStyle w:val="Hyperlink"/>
          </w:rPr>
          <w:t>http://www.eia.doe.gov/cneaf/electricity/epm/table5_6_b.html</w:t>
        </w:r>
      </w:hyperlink>
      <w:r w:rsidRPr="00947DB0">
        <w:rPr>
          <w:color w:val="auto"/>
        </w:rPr>
        <w:t xml:space="preserve">) and </w:t>
      </w:r>
      <w:r w:rsidRPr="00947DB0">
        <w:rPr>
          <w:i/>
          <w:color w:val="auto"/>
        </w:rPr>
        <w:t xml:space="preserve">Greenhouse Gas Equivalencies Calculator </w:t>
      </w:r>
      <w:r w:rsidRPr="00947DB0">
        <w:rPr>
          <w:color w:val="auto"/>
        </w:rPr>
        <w:t>(</w:t>
      </w:r>
      <w:hyperlink r:id="rId3" w:history="1">
        <w:r w:rsidRPr="00A07B9F">
          <w:rPr>
            <w:rStyle w:val="Hyperlink"/>
          </w:rPr>
          <w:t>http://www.epa.gov/cleanenergy/energy-resources/calculator.html</w:t>
        </w:r>
      </w:hyperlink>
      <w:r w:rsidRPr="00947DB0">
        <w:rPr>
          <w:color w:val="auto"/>
        </w:rPr>
        <w:t>) from the U.S. Environmental Protection Agency.</w:t>
      </w:r>
    </w:p>
  </w:footnote>
  <w:footnote w:id="7">
    <w:p w:rsidR="00CD2EDB" w:rsidRPr="00C66BD0" w:rsidRDefault="00CD2EDB">
      <w:pPr>
        <w:pStyle w:val="FootnoteText"/>
        <w:rPr>
          <w:color w:val="auto"/>
        </w:rPr>
      </w:pPr>
      <w:r w:rsidRPr="00947DB0">
        <w:rPr>
          <w:rStyle w:val="FootnoteReference"/>
          <w:color w:val="auto"/>
        </w:rPr>
        <w:footnoteRef/>
      </w:r>
      <w:r w:rsidRPr="00947DB0">
        <w:rPr>
          <w:color w:val="auto"/>
        </w:rPr>
        <w:t xml:space="preserve"> </w:t>
      </w:r>
      <w:smartTag w:uri="urn:schemas-microsoft-com:office:smarttags" w:element="stockticker">
        <w:r w:rsidRPr="00947DB0">
          <w:rPr>
            <w:color w:val="auto"/>
          </w:rPr>
          <w:t>IDC</w:t>
        </w:r>
      </w:smartTag>
      <w:r w:rsidRPr="00947DB0">
        <w:rPr>
          <w:color w:val="auto"/>
        </w:rPr>
        <w:t>, “Virtualization and Multi</w:t>
      </w:r>
      <w:r>
        <w:rPr>
          <w:color w:val="auto"/>
        </w:rPr>
        <w:t>-</w:t>
      </w:r>
      <w:r w:rsidRPr="00947DB0">
        <w:rPr>
          <w:color w:val="auto"/>
        </w:rPr>
        <w:t>core Innovations Disrupt the Worldwide Server Market,” March 2007.</w:t>
      </w:r>
    </w:p>
  </w:footnote>
  <w:footnote w:id="8">
    <w:p w:rsidR="00CD2EDB" w:rsidRDefault="00CD2EDB">
      <w:pPr>
        <w:pStyle w:val="FootnoteText"/>
      </w:pPr>
      <w:r w:rsidRPr="00AE6767">
        <w:rPr>
          <w:rStyle w:val="FootnoteReference"/>
          <w:color w:val="auto"/>
        </w:rPr>
        <w:footnoteRef/>
      </w:r>
      <w:r w:rsidRPr="00AE6767">
        <w:rPr>
          <w:color w:val="auto"/>
        </w:rPr>
        <w:t xml:space="preserve"> For more information, see</w:t>
      </w:r>
      <w:r>
        <w:t xml:space="preserve"> </w:t>
      </w:r>
      <w:hyperlink r:id="rId4" w:history="1">
        <w:r w:rsidRPr="001F4C8E">
          <w:rPr>
            <w:rStyle w:val="Hyperlink"/>
          </w:rPr>
          <w:t>http://www.energystar.gov/index.cfm?c=power_mgt.pr_power_mgt_winVista_default</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DB" w:rsidRDefault="0023106A" w:rsidP="005A1C7D">
    <w:pPr>
      <w:pStyle w:val="Header"/>
      <w:framePr w:wrap="around" w:vAnchor="text" w:hAnchor="margin" w:xAlign="right" w:y="1"/>
    </w:pPr>
    <w:r>
      <w:fldChar w:fldCharType="begin"/>
    </w:r>
    <w:r w:rsidR="00CD2EDB">
      <w:instrText xml:space="preserve">PAGE  </w:instrText>
    </w:r>
    <w:r>
      <w:fldChar w:fldCharType="end"/>
    </w:r>
  </w:p>
  <w:p w:rsidR="00CD2EDB" w:rsidRDefault="00CD2EDB" w:rsidP="005A1C7D">
    <w:pPr>
      <w:pStyle w:val="Header"/>
      <w:ind w:right="360"/>
    </w:pPr>
  </w:p>
  <w:p w:rsidR="00CD2EDB" w:rsidRDefault="00CD2E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7C"/>
    <w:multiLevelType w:val="singleLevel"/>
    <w:tmpl w:val="ECB0E54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E3873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E7223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1D831C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67AB8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ED21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C41D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E03A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29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3E6F80"/>
    <w:lvl w:ilvl="0">
      <w:start w:val="1"/>
      <w:numFmt w:val="bullet"/>
      <w:lvlText w:val=""/>
      <w:lvlJc w:val="left"/>
      <w:pPr>
        <w:tabs>
          <w:tab w:val="num" w:pos="360"/>
        </w:tabs>
        <w:ind w:left="360" w:hanging="360"/>
      </w:pPr>
      <w:rPr>
        <w:rFonts w:ascii="Symbol" w:hAnsi="Symbol" w:hint="default"/>
      </w:rPr>
    </w:lvl>
  </w:abstractNum>
  <w:abstractNum w:abstractNumId="10">
    <w:nsid w:val="0E5D2E83"/>
    <w:multiLevelType w:val="multilevel"/>
    <w:tmpl w:val="0FE05C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A91426"/>
    <w:multiLevelType w:val="hybridMultilevel"/>
    <w:tmpl w:val="50F65728"/>
    <w:lvl w:ilvl="0" w:tplc="04090001">
      <w:start w:val="1"/>
      <w:numFmt w:val="bullet"/>
      <w:lvlText w:val=""/>
      <w:lvlJc w:val="left"/>
      <w:pPr>
        <w:tabs>
          <w:tab w:val="num" w:pos="673"/>
        </w:tabs>
        <w:ind w:left="673" w:hanging="360"/>
      </w:pPr>
      <w:rPr>
        <w:rFonts w:ascii="Symbol" w:hAnsi="Symbol" w:hint="default"/>
      </w:rPr>
    </w:lvl>
    <w:lvl w:ilvl="1" w:tplc="04090003" w:tentative="1">
      <w:start w:val="1"/>
      <w:numFmt w:val="bullet"/>
      <w:lvlText w:val="o"/>
      <w:lvlJc w:val="left"/>
      <w:pPr>
        <w:tabs>
          <w:tab w:val="num" w:pos="1393"/>
        </w:tabs>
        <w:ind w:left="1393" w:hanging="360"/>
      </w:pPr>
      <w:rPr>
        <w:rFonts w:ascii="Courier New" w:hAnsi="Courier New" w:hint="default"/>
      </w:rPr>
    </w:lvl>
    <w:lvl w:ilvl="2" w:tplc="04090005" w:tentative="1">
      <w:start w:val="1"/>
      <w:numFmt w:val="bullet"/>
      <w:lvlText w:val=""/>
      <w:lvlJc w:val="left"/>
      <w:pPr>
        <w:tabs>
          <w:tab w:val="num" w:pos="2113"/>
        </w:tabs>
        <w:ind w:left="2113" w:hanging="360"/>
      </w:pPr>
      <w:rPr>
        <w:rFonts w:ascii="Wingdings" w:hAnsi="Wingdings" w:hint="default"/>
      </w:rPr>
    </w:lvl>
    <w:lvl w:ilvl="3" w:tplc="04090001" w:tentative="1">
      <w:start w:val="1"/>
      <w:numFmt w:val="bullet"/>
      <w:lvlText w:val=""/>
      <w:lvlJc w:val="left"/>
      <w:pPr>
        <w:tabs>
          <w:tab w:val="num" w:pos="2833"/>
        </w:tabs>
        <w:ind w:left="2833" w:hanging="360"/>
      </w:pPr>
      <w:rPr>
        <w:rFonts w:ascii="Symbol" w:hAnsi="Symbol" w:hint="default"/>
      </w:rPr>
    </w:lvl>
    <w:lvl w:ilvl="4" w:tplc="04090003" w:tentative="1">
      <w:start w:val="1"/>
      <w:numFmt w:val="bullet"/>
      <w:lvlText w:val="o"/>
      <w:lvlJc w:val="left"/>
      <w:pPr>
        <w:tabs>
          <w:tab w:val="num" w:pos="3553"/>
        </w:tabs>
        <w:ind w:left="3553" w:hanging="360"/>
      </w:pPr>
      <w:rPr>
        <w:rFonts w:ascii="Courier New" w:hAnsi="Courier New" w:hint="default"/>
      </w:rPr>
    </w:lvl>
    <w:lvl w:ilvl="5" w:tplc="04090005" w:tentative="1">
      <w:start w:val="1"/>
      <w:numFmt w:val="bullet"/>
      <w:lvlText w:val=""/>
      <w:lvlJc w:val="left"/>
      <w:pPr>
        <w:tabs>
          <w:tab w:val="num" w:pos="4273"/>
        </w:tabs>
        <w:ind w:left="4273" w:hanging="360"/>
      </w:pPr>
      <w:rPr>
        <w:rFonts w:ascii="Wingdings" w:hAnsi="Wingdings" w:hint="default"/>
      </w:rPr>
    </w:lvl>
    <w:lvl w:ilvl="6" w:tplc="04090001" w:tentative="1">
      <w:start w:val="1"/>
      <w:numFmt w:val="bullet"/>
      <w:lvlText w:val=""/>
      <w:lvlJc w:val="left"/>
      <w:pPr>
        <w:tabs>
          <w:tab w:val="num" w:pos="4993"/>
        </w:tabs>
        <w:ind w:left="4993" w:hanging="360"/>
      </w:pPr>
      <w:rPr>
        <w:rFonts w:ascii="Symbol" w:hAnsi="Symbol" w:hint="default"/>
      </w:rPr>
    </w:lvl>
    <w:lvl w:ilvl="7" w:tplc="04090003" w:tentative="1">
      <w:start w:val="1"/>
      <w:numFmt w:val="bullet"/>
      <w:lvlText w:val="o"/>
      <w:lvlJc w:val="left"/>
      <w:pPr>
        <w:tabs>
          <w:tab w:val="num" w:pos="5713"/>
        </w:tabs>
        <w:ind w:left="5713" w:hanging="360"/>
      </w:pPr>
      <w:rPr>
        <w:rFonts w:ascii="Courier New" w:hAnsi="Courier New" w:hint="default"/>
      </w:rPr>
    </w:lvl>
    <w:lvl w:ilvl="8" w:tplc="04090005" w:tentative="1">
      <w:start w:val="1"/>
      <w:numFmt w:val="bullet"/>
      <w:lvlText w:val=""/>
      <w:lvlJc w:val="left"/>
      <w:pPr>
        <w:tabs>
          <w:tab w:val="num" w:pos="6433"/>
        </w:tabs>
        <w:ind w:left="6433" w:hanging="360"/>
      </w:pPr>
      <w:rPr>
        <w:rFonts w:ascii="Wingdings" w:hAnsi="Wingdings" w:hint="default"/>
      </w:rPr>
    </w:lvl>
  </w:abstractNum>
  <w:abstractNum w:abstractNumId="12">
    <w:nsid w:val="1061184B"/>
    <w:multiLevelType w:val="hybridMultilevel"/>
    <w:tmpl w:val="60B0A6E8"/>
    <w:lvl w:ilvl="0" w:tplc="360E0626">
      <w:start w:val="1"/>
      <w:numFmt w:val="bullet"/>
      <w:pStyle w:val="Checkbox"/>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3236C2"/>
    <w:multiLevelType w:val="hybridMultilevel"/>
    <w:tmpl w:val="C788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A644C"/>
    <w:multiLevelType w:val="hybridMultilevel"/>
    <w:tmpl w:val="03DEA77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4D37DA1"/>
    <w:multiLevelType w:val="hybridMultilevel"/>
    <w:tmpl w:val="B6D0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16DAC"/>
    <w:multiLevelType w:val="hybridMultilevel"/>
    <w:tmpl w:val="7544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67AFC"/>
    <w:multiLevelType w:val="hybridMultilevel"/>
    <w:tmpl w:val="D084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76312"/>
    <w:multiLevelType w:val="hybridMultilevel"/>
    <w:tmpl w:val="083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94053"/>
    <w:multiLevelType w:val="hybridMultilevel"/>
    <w:tmpl w:val="D9B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hint="default"/>
      </w:rPr>
    </w:lvl>
  </w:abstractNum>
  <w:abstractNum w:abstractNumId="21">
    <w:nsid w:val="46BA0725"/>
    <w:multiLevelType w:val="hybridMultilevel"/>
    <w:tmpl w:val="ACA0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54CD9"/>
    <w:multiLevelType w:val="hybridMultilevel"/>
    <w:tmpl w:val="C31E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451C8E"/>
    <w:multiLevelType w:val="hybridMultilevel"/>
    <w:tmpl w:val="577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84228"/>
    <w:multiLevelType w:val="hybridMultilevel"/>
    <w:tmpl w:val="50564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BE04C38"/>
    <w:multiLevelType w:val="singleLevel"/>
    <w:tmpl w:val="1B76FDC0"/>
    <w:lvl w:ilvl="0">
      <w:start w:val="1"/>
      <w:numFmt w:val="decimal"/>
      <w:pStyle w:val="NumberedList2"/>
      <w:lvlText w:val="%1."/>
      <w:lvlJc w:val="left"/>
      <w:pPr>
        <w:tabs>
          <w:tab w:val="num" w:pos="720"/>
        </w:tabs>
        <w:ind w:left="720" w:hanging="360"/>
      </w:pPr>
      <w:rPr>
        <w:rFonts w:cs="Times New Roman"/>
      </w:rPr>
    </w:lvl>
  </w:abstractNum>
  <w:abstractNum w:abstractNumId="26">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hint="default"/>
      </w:rPr>
    </w:lvl>
  </w:abstractNum>
  <w:abstractNum w:abstractNumId="27">
    <w:nsid w:val="71BB74F4"/>
    <w:multiLevelType w:val="singleLevel"/>
    <w:tmpl w:val="532C47BA"/>
    <w:lvl w:ilvl="0">
      <w:start w:val="1"/>
      <w:numFmt w:val="decimal"/>
      <w:pStyle w:val="NumberedList1"/>
      <w:lvlText w:val="%1."/>
      <w:lvlJc w:val="left"/>
      <w:pPr>
        <w:tabs>
          <w:tab w:val="num" w:pos="360"/>
        </w:tabs>
        <w:ind w:left="360" w:hanging="360"/>
      </w:pPr>
      <w:rPr>
        <w:rFonts w:cs="Times New Roman"/>
      </w:rPr>
    </w:lvl>
  </w:abstractNum>
  <w:abstractNum w:abstractNumId="28">
    <w:nsid w:val="72225221"/>
    <w:multiLevelType w:val="hybridMultilevel"/>
    <w:tmpl w:val="87D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31A31"/>
    <w:multiLevelType w:val="multilevel"/>
    <w:tmpl w:val="DCB829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810EE7"/>
    <w:multiLevelType w:val="hybridMultilevel"/>
    <w:tmpl w:val="F260FEE2"/>
    <w:lvl w:ilvl="0" w:tplc="DAD235F8">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F57D77"/>
    <w:multiLevelType w:val="hybridMultilevel"/>
    <w:tmpl w:val="2C8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EC0BAD"/>
    <w:multiLevelType w:val="hybridMultilevel"/>
    <w:tmpl w:val="1A34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574493"/>
    <w:multiLevelType w:val="hybridMultilevel"/>
    <w:tmpl w:val="1CEC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A6308"/>
    <w:multiLevelType w:val="hybridMultilevel"/>
    <w:tmpl w:val="E8A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C486B"/>
    <w:multiLevelType w:val="hybridMultilevel"/>
    <w:tmpl w:val="7CC658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26"/>
  </w:num>
  <w:num w:numId="14">
    <w:abstractNumId w:val="25"/>
  </w:num>
  <w:num w:numId="15">
    <w:abstractNumId w:val="35"/>
  </w:num>
  <w:num w:numId="16">
    <w:abstractNumId w:val="12"/>
  </w:num>
  <w:num w:numId="17">
    <w:abstractNumId w:val="30"/>
  </w:num>
  <w:num w:numId="18">
    <w:abstractNumId w:val="10"/>
  </w:num>
  <w:num w:numId="19">
    <w:abstractNumId w:val="29"/>
  </w:num>
  <w:num w:numId="20">
    <w:abstractNumId w:val="11"/>
  </w:num>
  <w:num w:numId="21">
    <w:abstractNumId w:val="24"/>
  </w:num>
  <w:num w:numId="22">
    <w:abstractNumId w:val="32"/>
  </w:num>
  <w:num w:numId="23">
    <w:abstractNumId w:val="14"/>
  </w:num>
  <w:num w:numId="24">
    <w:abstractNumId w:val="17"/>
  </w:num>
  <w:num w:numId="25">
    <w:abstractNumId w:val="16"/>
  </w:num>
  <w:num w:numId="26">
    <w:abstractNumId w:val="23"/>
  </w:num>
  <w:num w:numId="27">
    <w:abstractNumId w:val="33"/>
  </w:num>
  <w:num w:numId="28">
    <w:abstractNumId w:val="13"/>
  </w:num>
  <w:num w:numId="29">
    <w:abstractNumId w:val="21"/>
  </w:num>
  <w:num w:numId="30">
    <w:abstractNumId w:val="18"/>
  </w:num>
  <w:num w:numId="31">
    <w:abstractNumId w:val="31"/>
  </w:num>
  <w:num w:numId="32">
    <w:abstractNumId w:val="28"/>
  </w:num>
  <w:num w:numId="33">
    <w:abstractNumId w:val="19"/>
  </w:num>
  <w:num w:numId="34">
    <w:abstractNumId w:val="15"/>
  </w:num>
  <w:num w:numId="35">
    <w:abstractNumId w:val="3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4"/>
  <w:removePersonalInformation/>
  <w:removeDateAndTime/>
  <w:embedSystemFonts/>
  <w:proofState w:spelling="clean" w:grammar="clean"/>
  <w:stylePaneFormatFilter w:val="1028"/>
  <w:defaultTabStop w:val="720"/>
  <w:characterSpacingControl w:val="doNotCompress"/>
  <w:hdrShapeDefaults>
    <o:shapedefaults v:ext="edit" spidmax="2049"/>
  </w:hdrShapeDefaults>
  <w:footnotePr>
    <w:footnote w:id="0"/>
    <w:footnote w:id="1"/>
  </w:footnotePr>
  <w:endnotePr>
    <w:endnote w:id="0"/>
    <w:endnote w:id="1"/>
  </w:endnotePr>
  <w:compat/>
  <w:rsids>
    <w:rsidRoot w:val="00397F37"/>
    <w:rsid w:val="000009E6"/>
    <w:rsid w:val="0000198D"/>
    <w:rsid w:val="00005C53"/>
    <w:rsid w:val="0001399A"/>
    <w:rsid w:val="00014AB4"/>
    <w:rsid w:val="00015617"/>
    <w:rsid w:val="00024BCD"/>
    <w:rsid w:val="00026D70"/>
    <w:rsid w:val="00030904"/>
    <w:rsid w:val="00031115"/>
    <w:rsid w:val="0003219A"/>
    <w:rsid w:val="00033BD4"/>
    <w:rsid w:val="000359CC"/>
    <w:rsid w:val="00040107"/>
    <w:rsid w:val="000428F8"/>
    <w:rsid w:val="000460FB"/>
    <w:rsid w:val="00051C7F"/>
    <w:rsid w:val="0005473C"/>
    <w:rsid w:val="000607C1"/>
    <w:rsid w:val="0006254C"/>
    <w:rsid w:val="00066EE8"/>
    <w:rsid w:val="000718CD"/>
    <w:rsid w:val="00074EB4"/>
    <w:rsid w:val="00080645"/>
    <w:rsid w:val="00084F2C"/>
    <w:rsid w:val="00086E6E"/>
    <w:rsid w:val="0008712A"/>
    <w:rsid w:val="000879AE"/>
    <w:rsid w:val="00090A98"/>
    <w:rsid w:val="00091103"/>
    <w:rsid w:val="00091F23"/>
    <w:rsid w:val="00092020"/>
    <w:rsid w:val="00092246"/>
    <w:rsid w:val="00094FE4"/>
    <w:rsid w:val="000A71DE"/>
    <w:rsid w:val="000A78CE"/>
    <w:rsid w:val="000B1A14"/>
    <w:rsid w:val="000B484E"/>
    <w:rsid w:val="000B4F89"/>
    <w:rsid w:val="000C6BA1"/>
    <w:rsid w:val="000C7E16"/>
    <w:rsid w:val="000D4027"/>
    <w:rsid w:val="000D7FEE"/>
    <w:rsid w:val="000E1E7B"/>
    <w:rsid w:val="000E2415"/>
    <w:rsid w:val="000E651B"/>
    <w:rsid w:val="000E6E5C"/>
    <w:rsid w:val="00105B08"/>
    <w:rsid w:val="001060B5"/>
    <w:rsid w:val="00107F4C"/>
    <w:rsid w:val="0011023C"/>
    <w:rsid w:val="00111F89"/>
    <w:rsid w:val="00114608"/>
    <w:rsid w:val="00114CB6"/>
    <w:rsid w:val="00115A70"/>
    <w:rsid w:val="00117E78"/>
    <w:rsid w:val="0012237B"/>
    <w:rsid w:val="00133A7B"/>
    <w:rsid w:val="00133E30"/>
    <w:rsid w:val="001403D0"/>
    <w:rsid w:val="001409EA"/>
    <w:rsid w:val="00146333"/>
    <w:rsid w:val="00155C37"/>
    <w:rsid w:val="00162EED"/>
    <w:rsid w:val="00163D66"/>
    <w:rsid w:val="00184391"/>
    <w:rsid w:val="00192191"/>
    <w:rsid w:val="0019405C"/>
    <w:rsid w:val="001962E7"/>
    <w:rsid w:val="00196C89"/>
    <w:rsid w:val="0019719F"/>
    <w:rsid w:val="00197E7B"/>
    <w:rsid w:val="001A580D"/>
    <w:rsid w:val="001A6707"/>
    <w:rsid w:val="001B6099"/>
    <w:rsid w:val="001C1ADB"/>
    <w:rsid w:val="001C21EF"/>
    <w:rsid w:val="001C7C2C"/>
    <w:rsid w:val="001D0A4F"/>
    <w:rsid w:val="001E609A"/>
    <w:rsid w:val="001F66B8"/>
    <w:rsid w:val="00203497"/>
    <w:rsid w:val="00205D5B"/>
    <w:rsid w:val="002119FE"/>
    <w:rsid w:val="002211FA"/>
    <w:rsid w:val="0023106A"/>
    <w:rsid w:val="00232D9E"/>
    <w:rsid w:val="00235729"/>
    <w:rsid w:val="00251A2B"/>
    <w:rsid w:val="00253E20"/>
    <w:rsid w:val="002545A8"/>
    <w:rsid w:val="00257FF8"/>
    <w:rsid w:val="00260B90"/>
    <w:rsid w:val="00267115"/>
    <w:rsid w:val="00270908"/>
    <w:rsid w:val="00270CF5"/>
    <w:rsid w:val="00274C7C"/>
    <w:rsid w:val="00277FFC"/>
    <w:rsid w:val="00282190"/>
    <w:rsid w:val="00285435"/>
    <w:rsid w:val="002854D7"/>
    <w:rsid w:val="002A41FF"/>
    <w:rsid w:val="002A44C0"/>
    <w:rsid w:val="002B0556"/>
    <w:rsid w:val="002B3286"/>
    <w:rsid w:val="002D1C85"/>
    <w:rsid w:val="002D29F4"/>
    <w:rsid w:val="002D4B0E"/>
    <w:rsid w:val="002D5360"/>
    <w:rsid w:val="002E2BC5"/>
    <w:rsid w:val="002F0751"/>
    <w:rsid w:val="002F0B1C"/>
    <w:rsid w:val="002F2238"/>
    <w:rsid w:val="003004D5"/>
    <w:rsid w:val="00303891"/>
    <w:rsid w:val="003145B8"/>
    <w:rsid w:val="00315F30"/>
    <w:rsid w:val="00316672"/>
    <w:rsid w:val="00334094"/>
    <w:rsid w:val="00342938"/>
    <w:rsid w:val="00343B7E"/>
    <w:rsid w:val="003467F7"/>
    <w:rsid w:val="00353195"/>
    <w:rsid w:val="0036100A"/>
    <w:rsid w:val="00361666"/>
    <w:rsid w:val="003665F2"/>
    <w:rsid w:val="00373F4C"/>
    <w:rsid w:val="00377D55"/>
    <w:rsid w:val="00397CE5"/>
    <w:rsid w:val="00397F37"/>
    <w:rsid w:val="003A2436"/>
    <w:rsid w:val="003B42FE"/>
    <w:rsid w:val="003B49F1"/>
    <w:rsid w:val="003C5715"/>
    <w:rsid w:val="003C71BC"/>
    <w:rsid w:val="003C7E34"/>
    <w:rsid w:val="003D0141"/>
    <w:rsid w:val="003D275C"/>
    <w:rsid w:val="003D50BB"/>
    <w:rsid w:val="003E29C3"/>
    <w:rsid w:val="003E3493"/>
    <w:rsid w:val="003E462A"/>
    <w:rsid w:val="003F3CAB"/>
    <w:rsid w:val="003F67EE"/>
    <w:rsid w:val="003F6A47"/>
    <w:rsid w:val="00402409"/>
    <w:rsid w:val="00405170"/>
    <w:rsid w:val="00412ABF"/>
    <w:rsid w:val="00414B88"/>
    <w:rsid w:val="00415414"/>
    <w:rsid w:val="00427CF2"/>
    <w:rsid w:val="00430141"/>
    <w:rsid w:val="004511CF"/>
    <w:rsid w:val="00454F98"/>
    <w:rsid w:val="00456591"/>
    <w:rsid w:val="004634D8"/>
    <w:rsid w:val="00467EDF"/>
    <w:rsid w:val="00471194"/>
    <w:rsid w:val="00485E97"/>
    <w:rsid w:val="00486BBC"/>
    <w:rsid w:val="00494185"/>
    <w:rsid w:val="0049702A"/>
    <w:rsid w:val="004A2705"/>
    <w:rsid w:val="004B25B2"/>
    <w:rsid w:val="004B6DE9"/>
    <w:rsid w:val="004C4A92"/>
    <w:rsid w:val="004E020D"/>
    <w:rsid w:val="004F498B"/>
    <w:rsid w:val="004F61AE"/>
    <w:rsid w:val="00500BE2"/>
    <w:rsid w:val="005010C7"/>
    <w:rsid w:val="00501493"/>
    <w:rsid w:val="00501BA8"/>
    <w:rsid w:val="0050249C"/>
    <w:rsid w:val="0050566D"/>
    <w:rsid w:val="0051014A"/>
    <w:rsid w:val="005118D2"/>
    <w:rsid w:val="00537FA3"/>
    <w:rsid w:val="005402DC"/>
    <w:rsid w:val="00545F44"/>
    <w:rsid w:val="00546175"/>
    <w:rsid w:val="0055508C"/>
    <w:rsid w:val="005551CC"/>
    <w:rsid w:val="00560FDA"/>
    <w:rsid w:val="00581038"/>
    <w:rsid w:val="00581830"/>
    <w:rsid w:val="0058263C"/>
    <w:rsid w:val="00583508"/>
    <w:rsid w:val="005923F3"/>
    <w:rsid w:val="005938E8"/>
    <w:rsid w:val="0059488C"/>
    <w:rsid w:val="00596F76"/>
    <w:rsid w:val="005A0C49"/>
    <w:rsid w:val="005A178C"/>
    <w:rsid w:val="005A1C7D"/>
    <w:rsid w:val="005A4E1C"/>
    <w:rsid w:val="005A62E3"/>
    <w:rsid w:val="005B6095"/>
    <w:rsid w:val="005B6A71"/>
    <w:rsid w:val="005C4C6A"/>
    <w:rsid w:val="005C5206"/>
    <w:rsid w:val="005D320B"/>
    <w:rsid w:val="005D68D8"/>
    <w:rsid w:val="005D7813"/>
    <w:rsid w:val="005E063D"/>
    <w:rsid w:val="005E6A55"/>
    <w:rsid w:val="005E77A4"/>
    <w:rsid w:val="005E7947"/>
    <w:rsid w:val="005F5884"/>
    <w:rsid w:val="00604359"/>
    <w:rsid w:val="00606466"/>
    <w:rsid w:val="00614C2E"/>
    <w:rsid w:val="00623D67"/>
    <w:rsid w:val="00624B37"/>
    <w:rsid w:val="006277C4"/>
    <w:rsid w:val="00630E2E"/>
    <w:rsid w:val="006318EC"/>
    <w:rsid w:val="00635CD9"/>
    <w:rsid w:val="0063622D"/>
    <w:rsid w:val="00641B83"/>
    <w:rsid w:val="006426E0"/>
    <w:rsid w:val="00644ADA"/>
    <w:rsid w:val="00647C3D"/>
    <w:rsid w:val="00653F77"/>
    <w:rsid w:val="00654514"/>
    <w:rsid w:val="00654B0E"/>
    <w:rsid w:val="006551B0"/>
    <w:rsid w:val="00656BE3"/>
    <w:rsid w:val="006612AE"/>
    <w:rsid w:val="006637A5"/>
    <w:rsid w:val="00663E9A"/>
    <w:rsid w:val="00667A12"/>
    <w:rsid w:val="00673DCC"/>
    <w:rsid w:val="006805B9"/>
    <w:rsid w:val="0069271E"/>
    <w:rsid w:val="00693F90"/>
    <w:rsid w:val="006A2BDF"/>
    <w:rsid w:val="006A3941"/>
    <w:rsid w:val="006A4812"/>
    <w:rsid w:val="006A4A1F"/>
    <w:rsid w:val="006B6861"/>
    <w:rsid w:val="006C1908"/>
    <w:rsid w:val="006C1DAC"/>
    <w:rsid w:val="006C2F65"/>
    <w:rsid w:val="006C6FCF"/>
    <w:rsid w:val="006D0EB1"/>
    <w:rsid w:val="006D1DD7"/>
    <w:rsid w:val="006D3B36"/>
    <w:rsid w:val="006E01C8"/>
    <w:rsid w:val="006E4C43"/>
    <w:rsid w:val="006F2319"/>
    <w:rsid w:val="00710147"/>
    <w:rsid w:val="00710D85"/>
    <w:rsid w:val="00714244"/>
    <w:rsid w:val="00724163"/>
    <w:rsid w:val="00724ABB"/>
    <w:rsid w:val="007256D1"/>
    <w:rsid w:val="00726D7F"/>
    <w:rsid w:val="007321EF"/>
    <w:rsid w:val="00733667"/>
    <w:rsid w:val="00736C70"/>
    <w:rsid w:val="00741177"/>
    <w:rsid w:val="00750CDA"/>
    <w:rsid w:val="00753116"/>
    <w:rsid w:val="00757696"/>
    <w:rsid w:val="00757EDE"/>
    <w:rsid w:val="00763D1A"/>
    <w:rsid w:val="00763D3B"/>
    <w:rsid w:val="00764002"/>
    <w:rsid w:val="0077184A"/>
    <w:rsid w:val="00772FC6"/>
    <w:rsid w:val="007776EF"/>
    <w:rsid w:val="00781636"/>
    <w:rsid w:val="00785D8D"/>
    <w:rsid w:val="00790AA7"/>
    <w:rsid w:val="007946C9"/>
    <w:rsid w:val="00796ACF"/>
    <w:rsid w:val="007973AE"/>
    <w:rsid w:val="007B4306"/>
    <w:rsid w:val="007C3CAD"/>
    <w:rsid w:val="007C55D8"/>
    <w:rsid w:val="007D29E9"/>
    <w:rsid w:val="007E33CD"/>
    <w:rsid w:val="007F1D47"/>
    <w:rsid w:val="00804AF0"/>
    <w:rsid w:val="00805341"/>
    <w:rsid w:val="00810659"/>
    <w:rsid w:val="00813F09"/>
    <w:rsid w:val="00817893"/>
    <w:rsid w:val="008211F5"/>
    <w:rsid w:val="00822F2F"/>
    <w:rsid w:val="00823F70"/>
    <w:rsid w:val="008315E5"/>
    <w:rsid w:val="00834732"/>
    <w:rsid w:val="008416E5"/>
    <w:rsid w:val="008419EF"/>
    <w:rsid w:val="00843ECA"/>
    <w:rsid w:val="0084530A"/>
    <w:rsid w:val="00847A6E"/>
    <w:rsid w:val="00850943"/>
    <w:rsid w:val="00851819"/>
    <w:rsid w:val="0086250A"/>
    <w:rsid w:val="0086489B"/>
    <w:rsid w:val="008676BC"/>
    <w:rsid w:val="00870387"/>
    <w:rsid w:val="00874916"/>
    <w:rsid w:val="00884B63"/>
    <w:rsid w:val="008901FD"/>
    <w:rsid w:val="00890BA1"/>
    <w:rsid w:val="00893F52"/>
    <w:rsid w:val="008967DD"/>
    <w:rsid w:val="00897943"/>
    <w:rsid w:val="008A6538"/>
    <w:rsid w:val="008B58EF"/>
    <w:rsid w:val="008C12A9"/>
    <w:rsid w:val="008C52A0"/>
    <w:rsid w:val="008C670B"/>
    <w:rsid w:val="008C6ED1"/>
    <w:rsid w:val="008E40B7"/>
    <w:rsid w:val="008E64AA"/>
    <w:rsid w:val="008E76DE"/>
    <w:rsid w:val="008F046C"/>
    <w:rsid w:val="008F16EF"/>
    <w:rsid w:val="00900546"/>
    <w:rsid w:val="009050D1"/>
    <w:rsid w:val="00907054"/>
    <w:rsid w:val="00911898"/>
    <w:rsid w:val="00913DB1"/>
    <w:rsid w:val="00916F3B"/>
    <w:rsid w:val="00921C1E"/>
    <w:rsid w:val="00922548"/>
    <w:rsid w:val="00926E74"/>
    <w:rsid w:val="009363E6"/>
    <w:rsid w:val="009400DC"/>
    <w:rsid w:val="0094314E"/>
    <w:rsid w:val="00945134"/>
    <w:rsid w:val="00947DB0"/>
    <w:rsid w:val="00952680"/>
    <w:rsid w:val="00965B39"/>
    <w:rsid w:val="00970D64"/>
    <w:rsid w:val="009736E1"/>
    <w:rsid w:val="00977679"/>
    <w:rsid w:val="009803B7"/>
    <w:rsid w:val="009872C7"/>
    <w:rsid w:val="00987BD4"/>
    <w:rsid w:val="00990834"/>
    <w:rsid w:val="009A11E2"/>
    <w:rsid w:val="009B08B9"/>
    <w:rsid w:val="009C10B8"/>
    <w:rsid w:val="009C6122"/>
    <w:rsid w:val="009D3774"/>
    <w:rsid w:val="009D69BE"/>
    <w:rsid w:val="009D7D36"/>
    <w:rsid w:val="009E08AB"/>
    <w:rsid w:val="009E1105"/>
    <w:rsid w:val="009E1520"/>
    <w:rsid w:val="009E2EA5"/>
    <w:rsid w:val="009E7274"/>
    <w:rsid w:val="009F3469"/>
    <w:rsid w:val="00A018F3"/>
    <w:rsid w:val="00A053A5"/>
    <w:rsid w:val="00A1104F"/>
    <w:rsid w:val="00A322A9"/>
    <w:rsid w:val="00A358B4"/>
    <w:rsid w:val="00A46E19"/>
    <w:rsid w:val="00A5041F"/>
    <w:rsid w:val="00A550F4"/>
    <w:rsid w:val="00A61622"/>
    <w:rsid w:val="00A64EE8"/>
    <w:rsid w:val="00A673A3"/>
    <w:rsid w:val="00A72E4D"/>
    <w:rsid w:val="00A7569C"/>
    <w:rsid w:val="00A833E7"/>
    <w:rsid w:val="00A93C68"/>
    <w:rsid w:val="00A9486C"/>
    <w:rsid w:val="00A97400"/>
    <w:rsid w:val="00AA45C5"/>
    <w:rsid w:val="00AB2475"/>
    <w:rsid w:val="00AB2B7B"/>
    <w:rsid w:val="00AD0F9D"/>
    <w:rsid w:val="00AD4839"/>
    <w:rsid w:val="00AD69A0"/>
    <w:rsid w:val="00AE1317"/>
    <w:rsid w:val="00AE5246"/>
    <w:rsid w:val="00AE6767"/>
    <w:rsid w:val="00AE6888"/>
    <w:rsid w:val="00B05350"/>
    <w:rsid w:val="00B101D3"/>
    <w:rsid w:val="00B11C5E"/>
    <w:rsid w:val="00B20AE1"/>
    <w:rsid w:val="00B2133D"/>
    <w:rsid w:val="00B252B7"/>
    <w:rsid w:val="00B26768"/>
    <w:rsid w:val="00B31222"/>
    <w:rsid w:val="00B315E1"/>
    <w:rsid w:val="00B43CDD"/>
    <w:rsid w:val="00B47633"/>
    <w:rsid w:val="00B52591"/>
    <w:rsid w:val="00B56246"/>
    <w:rsid w:val="00B57E72"/>
    <w:rsid w:val="00B61FDA"/>
    <w:rsid w:val="00B66AB6"/>
    <w:rsid w:val="00B70180"/>
    <w:rsid w:val="00B71A59"/>
    <w:rsid w:val="00B74322"/>
    <w:rsid w:val="00B7455C"/>
    <w:rsid w:val="00B7723F"/>
    <w:rsid w:val="00B8075A"/>
    <w:rsid w:val="00B84E77"/>
    <w:rsid w:val="00B85E52"/>
    <w:rsid w:val="00B860A7"/>
    <w:rsid w:val="00B92282"/>
    <w:rsid w:val="00B941FD"/>
    <w:rsid w:val="00B96E6F"/>
    <w:rsid w:val="00B97843"/>
    <w:rsid w:val="00BA2A66"/>
    <w:rsid w:val="00BA7B0F"/>
    <w:rsid w:val="00BC0999"/>
    <w:rsid w:val="00BD598F"/>
    <w:rsid w:val="00BD6F1C"/>
    <w:rsid w:val="00BE5EB3"/>
    <w:rsid w:val="00BF23A3"/>
    <w:rsid w:val="00BF698F"/>
    <w:rsid w:val="00C00C3F"/>
    <w:rsid w:val="00C1111B"/>
    <w:rsid w:val="00C34271"/>
    <w:rsid w:val="00C36F99"/>
    <w:rsid w:val="00C4224D"/>
    <w:rsid w:val="00C42CC0"/>
    <w:rsid w:val="00C444DC"/>
    <w:rsid w:val="00C625A3"/>
    <w:rsid w:val="00C66BD0"/>
    <w:rsid w:val="00C70864"/>
    <w:rsid w:val="00C7580E"/>
    <w:rsid w:val="00C828EC"/>
    <w:rsid w:val="00C84A2A"/>
    <w:rsid w:val="00C9009D"/>
    <w:rsid w:val="00C92552"/>
    <w:rsid w:val="00C944DE"/>
    <w:rsid w:val="00CA55FB"/>
    <w:rsid w:val="00CA627D"/>
    <w:rsid w:val="00CB2E29"/>
    <w:rsid w:val="00CB3110"/>
    <w:rsid w:val="00CC070D"/>
    <w:rsid w:val="00CC2550"/>
    <w:rsid w:val="00CC4556"/>
    <w:rsid w:val="00CC4989"/>
    <w:rsid w:val="00CD2EDB"/>
    <w:rsid w:val="00CD4491"/>
    <w:rsid w:val="00CE395A"/>
    <w:rsid w:val="00CE4A96"/>
    <w:rsid w:val="00CF1B78"/>
    <w:rsid w:val="00CF4669"/>
    <w:rsid w:val="00CF7FDA"/>
    <w:rsid w:val="00D00027"/>
    <w:rsid w:val="00D02CA2"/>
    <w:rsid w:val="00D0390F"/>
    <w:rsid w:val="00D069F1"/>
    <w:rsid w:val="00D07057"/>
    <w:rsid w:val="00D15678"/>
    <w:rsid w:val="00D17ABC"/>
    <w:rsid w:val="00D310FD"/>
    <w:rsid w:val="00D31807"/>
    <w:rsid w:val="00D36D85"/>
    <w:rsid w:val="00D42561"/>
    <w:rsid w:val="00D50308"/>
    <w:rsid w:val="00D5272B"/>
    <w:rsid w:val="00D527CA"/>
    <w:rsid w:val="00D57F74"/>
    <w:rsid w:val="00D6766F"/>
    <w:rsid w:val="00D73A48"/>
    <w:rsid w:val="00D770B1"/>
    <w:rsid w:val="00D80228"/>
    <w:rsid w:val="00D8045B"/>
    <w:rsid w:val="00D80A44"/>
    <w:rsid w:val="00DA1699"/>
    <w:rsid w:val="00DA3C3A"/>
    <w:rsid w:val="00DA4D1D"/>
    <w:rsid w:val="00DA7DBC"/>
    <w:rsid w:val="00DD34DC"/>
    <w:rsid w:val="00DF7BF2"/>
    <w:rsid w:val="00E10226"/>
    <w:rsid w:val="00E143DC"/>
    <w:rsid w:val="00E17594"/>
    <w:rsid w:val="00E20869"/>
    <w:rsid w:val="00E23436"/>
    <w:rsid w:val="00E26A31"/>
    <w:rsid w:val="00E353F4"/>
    <w:rsid w:val="00E41956"/>
    <w:rsid w:val="00E42DC7"/>
    <w:rsid w:val="00E53C22"/>
    <w:rsid w:val="00E540F8"/>
    <w:rsid w:val="00E61A7D"/>
    <w:rsid w:val="00E63013"/>
    <w:rsid w:val="00E636F6"/>
    <w:rsid w:val="00E7034F"/>
    <w:rsid w:val="00E70705"/>
    <w:rsid w:val="00E70F38"/>
    <w:rsid w:val="00E75905"/>
    <w:rsid w:val="00E83AA6"/>
    <w:rsid w:val="00E8585D"/>
    <w:rsid w:val="00E85960"/>
    <w:rsid w:val="00E91AB9"/>
    <w:rsid w:val="00E91CD4"/>
    <w:rsid w:val="00E96F82"/>
    <w:rsid w:val="00EA2FD5"/>
    <w:rsid w:val="00EB2F3F"/>
    <w:rsid w:val="00EB3401"/>
    <w:rsid w:val="00EB58E5"/>
    <w:rsid w:val="00EB720F"/>
    <w:rsid w:val="00EB7F58"/>
    <w:rsid w:val="00EC21CF"/>
    <w:rsid w:val="00EC26FE"/>
    <w:rsid w:val="00EC2754"/>
    <w:rsid w:val="00ED17D4"/>
    <w:rsid w:val="00ED1F6E"/>
    <w:rsid w:val="00ED3369"/>
    <w:rsid w:val="00ED490F"/>
    <w:rsid w:val="00ED4DFE"/>
    <w:rsid w:val="00ED58EE"/>
    <w:rsid w:val="00F06C30"/>
    <w:rsid w:val="00F12A5B"/>
    <w:rsid w:val="00F13BCE"/>
    <w:rsid w:val="00F1794A"/>
    <w:rsid w:val="00F23A65"/>
    <w:rsid w:val="00F26550"/>
    <w:rsid w:val="00F354CE"/>
    <w:rsid w:val="00F35CB3"/>
    <w:rsid w:val="00F435B2"/>
    <w:rsid w:val="00F43BAA"/>
    <w:rsid w:val="00F440A7"/>
    <w:rsid w:val="00F53FD8"/>
    <w:rsid w:val="00F5536C"/>
    <w:rsid w:val="00F55E29"/>
    <w:rsid w:val="00F75A62"/>
    <w:rsid w:val="00F8053F"/>
    <w:rsid w:val="00F876FA"/>
    <w:rsid w:val="00F87EC3"/>
    <w:rsid w:val="00F91A71"/>
    <w:rsid w:val="00F920B8"/>
    <w:rsid w:val="00F95914"/>
    <w:rsid w:val="00F96C21"/>
    <w:rsid w:val="00F971D9"/>
    <w:rsid w:val="00FA1425"/>
    <w:rsid w:val="00FA15D3"/>
    <w:rsid w:val="00FA5B9A"/>
    <w:rsid w:val="00FA76A5"/>
    <w:rsid w:val="00FA7D63"/>
    <w:rsid w:val="00FB30D3"/>
    <w:rsid w:val="00FB5FC6"/>
    <w:rsid w:val="00FB5FDD"/>
    <w:rsid w:val="00FB66D9"/>
    <w:rsid w:val="00FB6DDE"/>
    <w:rsid w:val="00FB75E6"/>
    <w:rsid w:val="00FE0368"/>
    <w:rsid w:val="00FE1E52"/>
    <w:rsid w:val="00FF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sid w:val="00B96E6F"/>
    <w:pPr>
      <w:spacing w:before="60" w:after="60" w:line="260" w:lineRule="exact"/>
    </w:pPr>
    <w:rPr>
      <w:rFonts w:ascii="Verdana" w:hAnsi="Verdana"/>
      <w:color w:val="000000"/>
    </w:rPr>
  </w:style>
  <w:style w:type="paragraph" w:styleId="Heading1">
    <w:name w:val="heading 1"/>
    <w:aliases w:val="h1,Level 1 Topic Heading"/>
    <w:basedOn w:val="Normal"/>
    <w:next w:val="Text"/>
    <w:link w:val="Heading1Char"/>
    <w:qFormat/>
    <w:rsid w:val="00907668"/>
    <w:pPr>
      <w:keepNext/>
      <w:spacing w:before="180" w:line="400" w:lineRule="exact"/>
      <w:outlineLvl w:val="0"/>
    </w:pPr>
    <w:rPr>
      <w:b/>
      <w:kern w:val="24"/>
      <w:sz w:val="36"/>
    </w:rPr>
  </w:style>
  <w:style w:type="paragraph" w:styleId="Heading2">
    <w:name w:val="heading 2"/>
    <w:aliases w:val="h2,Level 2 Topic Heading"/>
    <w:basedOn w:val="Heading1"/>
    <w:next w:val="Text"/>
    <w:link w:val="Heading2Char"/>
    <w:qFormat/>
    <w:rsid w:val="00907668"/>
    <w:pPr>
      <w:outlineLvl w:val="1"/>
    </w:pPr>
    <w:rPr>
      <w:color w:val="808080"/>
    </w:rPr>
  </w:style>
  <w:style w:type="paragraph" w:styleId="Heading3">
    <w:name w:val="heading 3"/>
    <w:aliases w:val="h3,Level 3 Topic Heading"/>
    <w:basedOn w:val="Heading1"/>
    <w:next w:val="Text"/>
    <w:link w:val="Heading3Char"/>
    <w:qFormat/>
    <w:rsid w:val="00907668"/>
    <w:pPr>
      <w:outlineLvl w:val="2"/>
    </w:pPr>
    <w:rPr>
      <w:color w:val="C0C0C0"/>
    </w:rPr>
  </w:style>
  <w:style w:type="paragraph" w:styleId="Heading4">
    <w:name w:val="heading 4"/>
    <w:aliases w:val="h4,First Subheading"/>
    <w:basedOn w:val="Heading1"/>
    <w:next w:val="Text"/>
    <w:link w:val="Heading4Char"/>
    <w:qFormat/>
    <w:rsid w:val="00907668"/>
    <w:pPr>
      <w:spacing w:line="320" w:lineRule="exact"/>
      <w:outlineLvl w:val="3"/>
    </w:pPr>
    <w:rPr>
      <w:sz w:val="28"/>
    </w:rPr>
  </w:style>
  <w:style w:type="paragraph" w:styleId="Heading5">
    <w:name w:val="heading 5"/>
    <w:aliases w:val="h5,Second Subheading"/>
    <w:basedOn w:val="Heading1"/>
    <w:next w:val="Text"/>
    <w:link w:val="Heading5Char"/>
    <w:qFormat/>
    <w:rsid w:val="00907668"/>
    <w:pPr>
      <w:spacing w:line="300" w:lineRule="exact"/>
      <w:outlineLvl w:val="4"/>
    </w:pPr>
    <w:rPr>
      <w:sz w:val="26"/>
    </w:rPr>
  </w:style>
  <w:style w:type="paragraph" w:styleId="Heading6">
    <w:name w:val="heading 6"/>
    <w:aliases w:val="h6,Third Subheading"/>
    <w:basedOn w:val="Heading1"/>
    <w:next w:val="Text"/>
    <w:link w:val="Heading6Char"/>
    <w:qFormat/>
    <w:rsid w:val="00907668"/>
    <w:pPr>
      <w:spacing w:line="240" w:lineRule="exact"/>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locked/>
    <w:rsid w:val="005D24DC"/>
    <w:rPr>
      <w:rFonts w:ascii="Verdana" w:hAnsi="Verdana" w:cs="Times New Roman"/>
      <w:b/>
      <w:color w:val="000000"/>
      <w:kern w:val="24"/>
      <w:sz w:val="36"/>
      <w:lang w:val="en-US" w:eastAsia="en-US" w:bidi="ar-SA"/>
    </w:rPr>
  </w:style>
  <w:style w:type="character" w:customStyle="1" w:styleId="Heading2Char">
    <w:name w:val="Heading 2 Char"/>
    <w:aliases w:val="h2 Char,Level 2 Topic Heading Char"/>
    <w:basedOn w:val="DefaultParagraphFont"/>
    <w:link w:val="Heading2"/>
    <w:locked/>
    <w:rsid w:val="00F61B70"/>
    <w:rPr>
      <w:rFonts w:ascii="Verdana" w:hAnsi="Verdana" w:cs="Times New Roman"/>
      <w:b/>
      <w:color w:val="808080"/>
      <w:kern w:val="24"/>
      <w:sz w:val="36"/>
    </w:rPr>
  </w:style>
  <w:style w:type="character" w:customStyle="1" w:styleId="Heading3Char">
    <w:name w:val="Heading 3 Char"/>
    <w:aliases w:val="h3 Char,Level 3 Topic Heading Char"/>
    <w:basedOn w:val="DefaultParagraphFont"/>
    <w:link w:val="Heading3"/>
    <w:locked/>
    <w:rsid w:val="00F61B70"/>
    <w:rPr>
      <w:rFonts w:ascii="Verdana" w:hAnsi="Verdana" w:cs="Times New Roman"/>
      <w:b/>
      <w:color w:val="C0C0C0"/>
      <w:kern w:val="24"/>
      <w:sz w:val="36"/>
    </w:rPr>
  </w:style>
  <w:style w:type="character" w:customStyle="1" w:styleId="Heading4Char">
    <w:name w:val="Heading 4 Char"/>
    <w:aliases w:val="h4 Char,First Subheading Char"/>
    <w:basedOn w:val="DefaultParagraphFont"/>
    <w:link w:val="Heading4"/>
    <w:locked/>
    <w:rsid w:val="005D24DC"/>
    <w:rPr>
      <w:rFonts w:ascii="Verdana" w:hAnsi="Verdana" w:cs="Times New Roman"/>
      <w:b/>
      <w:color w:val="000000"/>
      <w:kern w:val="24"/>
      <w:sz w:val="28"/>
    </w:rPr>
  </w:style>
  <w:style w:type="character" w:customStyle="1" w:styleId="Heading5Char">
    <w:name w:val="Heading 5 Char"/>
    <w:aliases w:val="h5 Char,Second Subheading Char"/>
    <w:basedOn w:val="DefaultParagraphFont"/>
    <w:link w:val="Heading5"/>
    <w:locked/>
    <w:rsid w:val="005D24DC"/>
    <w:rPr>
      <w:rFonts w:ascii="Verdana" w:hAnsi="Verdana" w:cs="Times New Roman"/>
      <w:b/>
      <w:color w:val="000000"/>
      <w:kern w:val="24"/>
      <w:sz w:val="26"/>
    </w:rPr>
  </w:style>
  <w:style w:type="character" w:customStyle="1" w:styleId="Heading6Char">
    <w:name w:val="Heading 6 Char"/>
    <w:aliases w:val="h6 Char,Third Subheading Char"/>
    <w:basedOn w:val="DefaultParagraphFont"/>
    <w:link w:val="Heading6"/>
    <w:locked/>
    <w:rsid w:val="00F61B70"/>
    <w:rPr>
      <w:rFonts w:ascii="Verdana" w:hAnsi="Verdana" w:cs="Times New Roman"/>
      <w:b/>
      <w:color w:val="000000"/>
      <w:kern w:val="24"/>
    </w:rPr>
  </w:style>
  <w:style w:type="paragraph" w:customStyle="1" w:styleId="Text">
    <w:name w:val="Text"/>
    <w:aliases w:val="t"/>
    <w:link w:val="TextChar"/>
    <w:rsid w:val="00907668"/>
    <w:pPr>
      <w:spacing w:before="60" w:after="60" w:line="260" w:lineRule="exact"/>
    </w:pPr>
    <w:rPr>
      <w:rFonts w:ascii="Verdana" w:hAnsi="Verdana"/>
      <w:color w:val="000000"/>
    </w:rPr>
  </w:style>
  <w:style w:type="character" w:styleId="CommentReference">
    <w:name w:val="annotation reference"/>
    <w:aliases w:val="cr,Used by Word to flag author queries"/>
    <w:basedOn w:val="DefaultParagraphFont"/>
    <w:semiHidden/>
    <w:rsid w:val="00907668"/>
    <w:rPr>
      <w:rFonts w:cs="Times New Roman"/>
    </w:rPr>
  </w:style>
  <w:style w:type="paragraph" w:styleId="CommentText">
    <w:name w:val="annotation text"/>
    <w:aliases w:val="ct,Used by Word for text of author queries"/>
    <w:basedOn w:val="Text"/>
    <w:link w:val="CommentTextChar1"/>
    <w:semiHidden/>
    <w:rsid w:val="00907668"/>
  </w:style>
  <w:style w:type="character" w:customStyle="1" w:styleId="CommentTextChar">
    <w:name w:val="Comment Text Char"/>
    <w:aliases w:val="ct Char,Used by Word for text of author queries Char"/>
    <w:basedOn w:val="DefaultParagraphFont"/>
    <w:link w:val="CommentText"/>
    <w:semiHidden/>
    <w:locked/>
    <w:rsid w:val="00973B8F"/>
    <w:rPr>
      <w:rFonts w:ascii="Verdana" w:hAnsi="Verdana" w:cs="Times New Roman"/>
      <w:color w:val="000000"/>
      <w:sz w:val="20"/>
      <w:szCs w:val="20"/>
    </w:rPr>
  </w:style>
  <w:style w:type="character" w:customStyle="1" w:styleId="CommentTextChar2">
    <w:name w:val="Comment Text Char2"/>
    <w:aliases w:val="ct Char2,Used by Word for text of author queries Char2,Used by Word for text of author queries Char Char"/>
    <w:basedOn w:val="DefaultParagraphFont"/>
    <w:link w:val="CommentText"/>
    <w:semiHidden/>
    <w:locked/>
    <w:rsid w:val="00F349DF"/>
    <w:rPr>
      <w:rFonts w:ascii="Verdana" w:hAnsi="Verdana" w:cs="Times New Roman"/>
      <w:color w:val="000000"/>
      <w:sz w:val="20"/>
      <w:szCs w:val="20"/>
    </w:rPr>
  </w:style>
  <w:style w:type="character" w:customStyle="1" w:styleId="CommentTextChar1">
    <w:name w:val="Comment Text Char1"/>
    <w:aliases w:val="ct Char1,Used by Word for text of author queries Char1"/>
    <w:basedOn w:val="DefaultParagraphFont"/>
    <w:link w:val="CommentText"/>
    <w:semiHidden/>
    <w:locked/>
    <w:rsid w:val="00C157A1"/>
    <w:rPr>
      <w:rFonts w:ascii="Verdana" w:hAnsi="Verdana" w:cs="Times New Roman"/>
      <w:color w:val="000000"/>
    </w:rPr>
  </w:style>
  <w:style w:type="paragraph" w:styleId="CommentSubject">
    <w:name w:val="annotation subject"/>
    <w:basedOn w:val="CommentText"/>
    <w:next w:val="CommentText"/>
    <w:link w:val="CommentSubjectChar"/>
    <w:semiHidden/>
    <w:rsid w:val="00C157A1"/>
    <w:rPr>
      <w:b/>
      <w:bCs/>
    </w:rPr>
  </w:style>
  <w:style w:type="character" w:customStyle="1" w:styleId="CommentSubjectChar">
    <w:name w:val="Comment Subject Char"/>
    <w:basedOn w:val="CommentTextChar1"/>
    <w:link w:val="CommentSubject"/>
    <w:semiHidden/>
    <w:locked/>
    <w:rsid w:val="00C157A1"/>
    <w:rPr>
      <w:b/>
      <w:bCs/>
    </w:rPr>
  </w:style>
  <w:style w:type="paragraph" w:styleId="BalloonText">
    <w:name w:val="Balloon Text"/>
    <w:basedOn w:val="Normal"/>
    <w:link w:val="BalloonTextChar"/>
    <w:semiHidden/>
    <w:rsid w:val="00C1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C157A1"/>
    <w:rPr>
      <w:rFonts w:ascii="Tahoma" w:hAnsi="Tahoma" w:cs="Tahoma"/>
      <w:sz w:val="16"/>
      <w:szCs w:val="16"/>
    </w:rPr>
  </w:style>
  <w:style w:type="character" w:styleId="Hyperlink">
    <w:name w:val="Hyperlink"/>
    <w:basedOn w:val="DefaultParagraphFont"/>
    <w:uiPriority w:val="99"/>
    <w:rsid w:val="00C157A1"/>
    <w:rPr>
      <w:rFonts w:cs="Times New Roman"/>
      <w:color w:val="0000FF"/>
      <w:u w:val="single"/>
    </w:rPr>
  </w:style>
  <w:style w:type="paragraph" w:styleId="NormalWeb">
    <w:name w:val="Normal (Web)"/>
    <w:basedOn w:val="Normal"/>
    <w:semiHidden/>
    <w:rsid w:val="00F85436"/>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semiHidden/>
    <w:rsid w:val="0041186C"/>
    <w:rPr>
      <w:rFonts w:cs="Times New Roman"/>
      <w:color w:val="800080"/>
      <w:u w:val="single"/>
    </w:rPr>
  </w:style>
  <w:style w:type="paragraph" w:customStyle="1" w:styleId="Figure">
    <w:name w:val="Figure"/>
    <w:aliases w:val="fig"/>
    <w:basedOn w:val="Text"/>
    <w:next w:val="Text"/>
    <w:rsid w:val="00907668"/>
    <w:pPr>
      <w:spacing w:after="180" w:line="240" w:lineRule="auto"/>
    </w:pPr>
  </w:style>
  <w:style w:type="paragraph" w:customStyle="1" w:styleId="Code">
    <w:name w:val="Code"/>
    <w:aliases w:val="c"/>
    <w:rsid w:val="00907668"/>
    <w:pPr>
      <w:spacing w:after="60" w:line="300" w:lineRule="exact"/>
    </w:pPr>
    <w:rPr>
      <w:rFonts w:ascii="Courier New" w:hAnsi="Courier New"/>
      <w:noProof/>
      <w:color w:val="000000"/>
    </w:rPr>
  </w:style>
  <w:style w:type="paragraph" w:customStyle="1" w:styleId="LabelinList2">
    <w:name w:val="Label in List 2"/>
    <w:aliases w:val="l2"/>
    <w:basedOn w:val="TextinList2"/>
    <w:next w:val="TextinList2"/>
    <w:rsid w:val="00907668"/>
    <w:rPr>
      <w:b/>
    </w:rPr>
  </w:style>
  <w:style w:type="paragraph" w:customStyle="1" w:styleId="TextinList2">
    <w:name w:val="Text in List 2"/>
    <w:aliases w:val="t2"/>
    <w:basedOn w:val="Text"/>
    <w:rsid w:val="00907668"/>
    <w:pPr>
      <w:ind w:left="720"/>
    </w:pPr>
  </w:style>
  <w:style w:type="paragraph" w:customStyle="1" w:styleId="Label">
    <w:name w:val="Label"/>
    <w:aliases w:val="l"/>
    <w:basedOn w:val="Text"/>
    <w:next w:val="Text"/>
    <w:rsid w:val="00907668"/>
    <w:rPr>
      <w:b/>
    </w:rPr>
  </w:style>
  <w:style w:type="paragraph" w:styleId="FootnoteText">
    <w:name w:val="footnote text"/>
    <w:aliases w:val="ft,Used by Word for text of Help footnotes"/>
    <w:basedOn w:val="Text"/>
    <w:link w:val="FootnoteTextChar"/>
    <w:semiHidden/>
    <w:rsid w:val="00907668"/>
    <w:rPr>
      <w:color w:val="FF0000"/>
    </w:rPr>
  </w:style>
  <w:style w:type="character" w:customStyle="1" w:styleId="FootnoteTextChar">
    <w:name w:val="Footnote Text Char"/>
    <w:aliases w:val="ft Char,Used by Word for text of Help footnotes Char"/>
    <w:basedOn w:val="DefaultParagraphFont"/>
    <w:link w:val="FootnoteText"/>
    <w:semiHidden/>
    <w:locked/>
    <w:rsid w:val="00F61B70"/>
    <w:rPr>
      <w:rFonts w:ascii="Verdana" w:hAnsi="Verdana" w:cs="Times New Roman"/>
      <w:color w:val="FF0000"/>
    </w:rPr>
  </w:style>
  <w:style w:type="paragraph" w:customStyle="1" w:styleId="NumberedList2">
    <w:name w:val="Numbered List 2"/>
    <w:aliases w:val="nl2"/>
    <w:basedOn w:val="TextinList2"/>
    <w:rsid w:val="00907668"/>
    <w:pPr>
      <w:numPr>
        <w:numId w:val="14"/>
      </w:numPr>
    </w:pPr>
  </w:style>
  <w:style w:type="paragraph" w:customStyle="1" w:styleId="Syntax">
    <w:name w:val="Syntax"/>
    <w:aliases w:val="s"/>
    <w:basedOn w:val="Code"/>
    <w:rsid w:val="00907668"/>
  </w:style>
  <w:style w:type="paragraph" w:customStyle="1" w:styleId="TableFootnote">
    <w:name w:val="Table Footnote"/>
    <w:aliases w:val="tf"/>
    <w:basedOn w:val="Text"/>
    <w:next w:val="Text"/>
    <w:rsid w:val="00907668"/>
    <w:pPr>
      <w:pBdr>
        <w:top w:val="single" w:sz="4" w:space="1" w:color="auto"/>
      </w:pBdr>
      <w:spacing w:before="40" w:after="80" w:line="220" w:lineRule="exact"/>
    </w:pPr>
    <w:rPr>
      <w:sz w:val="16"/>
    </w:rPr>
  </w:style>
  <w:style w:type="character" w:styleId="FootnoteReference">
    <w:name w:val="footnote reference"/>
    <w:aliases w:val="fr,Used by Word for Help footnote symbols"/>
    <w:basedOn w:val="DefaultParagraphFont"/>
    <w:semiHidden/>
    <w:rsid w:val="00907668"/>
    <w:rPr>
      <w:rFonts w:cs="Times New Roman"/>
      <w:color w:val="FF0000"/>
      <w:vertAlign w:val="superscript"/>
    </w:rPr>
  </w:style>
  <w:style w:type="character" w:customStyle="1" w:styleId="CodeEmbedded">
    <w:name w:val="Code Embedded"/>
    <w:aliases w:val="ce"/>
    <w:basedOn w:val="DefaultParagraphFont"/>
    <w:rsid w:val="00907668"/>
    <w:rPr>
      <w:rFonts w:ascii="Courier New" w:hAnsi="Courier New" w:cs="Times New Roman"/>
      <w:sz w:val="20"/>
    </w:rPr>
  </w:style>
  <w:style w:type="character" w:customStyle="1" w:styleId="LabelEmbedded">
    <w:name w:val="Label Embedded"/>
    <w:aliases w:val="le"/>
    <w:basedOn w:val="DefaultParagraphFont"/>
    <w:rsid w:val="00907668"/>
    <w:rPr>
      <w:rFonts w:ascii="Verdana" w:hAnsi="Verdana" w:cs="Times New Roman"/>
      <w:b/>
      <w:sz w:val="20"/>
      <w:u w:val="none"/>
    </w:rPr>
  </w:style>
  <w:style w:type="character" w:customStyle="1" w:styleId="LinkText">
    <w:name w:val="Link Text"/>
    <w:aliases w:val="lt"/>
    <w:basedOn w:val="DefaultParagraphFont"/>
    <w:rsid w:val="00907668"/>
    <w:rPr>
      <w:rFonts w:cs="Times New Roman"/>
      <w:color w:val="008000"/>
      <w:u w:val="double"/>
    </w:rPr>
  </w:style>
  <w:style w:type="character" w:customStyle="1" w:styleId="LinkTextPopup">
    <w:name w:val="Link Text Popup"/>
    <w:aliases w:val="ltp"/>
    <w:basedOn w:val="DefaultParagraphFont"/>
    <w:rsid w:val="00907668"/>
    <w:rPr>
      <w:rFonts w:cs="Times New Roman"/>
      <w:color w:val="008000"/>
      <w:u w:val="single"/>
    </w:rPr>
  </w:style>
  <w:style w:type="character" w:customStyle="1" w:styleId="LinkID">
    <w:name w:val="Link ID"/>
    <w:aliases w:val="lid"/>
    <w:basedOn w:val="DefaultParagraphFont"/>
    <w:rsid w:val="00907668"/>
    <w:rPr>
      <w:rFonts w:cs="Times New Roman"/>
      <w:vanish/>
      <w:color w:val="FF0000"/>
    </w:rPr>
  </w:style>
  <w:style w:type="paragraph" w:customStyle="1" w:styleId="TableSpacingAfter">
    <w:name w:val="Table Spacing After"/>
    <w:aliases w:val="tsa"/>
    <w:basedOn w:val="Text"/>
    <w:next w:val="Text"/>
    <w:rsid w:val="00907668"/>
    <w:pPr>
      <w:spacing w:after="0" w:line="120" w:lineRule="exact"/>
    </w:pPr>
    <w:rPr>
      <w:sz w:val="12"/>
    </w:rPr>
  </w:style>
  <w:style w:type="paragraph" w:customStyle="1" w:styleId="CodeinList2">
    <w:name w:val="Code in List 2"/>
    <w:aliases w:val="c2"/>
    <w:basedOn w:val="Code"/>
    <w:rsid w:val="00907668"/>
    <w:pPr>
      <w:ind w:left="720"/>
    </w:pPr>
  </w:style>
  <w:style w:type="character" w:customStyle="1" w:styleId="ConditionalMarker">
    <w:name w:val="Conditional Marker"/>
    <w:aliases w:val="cm"/>
    <w:basedOn w:val="DefaultParagraphFont"/>
    <w:rsid w:val="00907668"/>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rsid w:val="00907668"/>
    <w:pPr>
      <w:ind w:left="720"/>
    </w:pPr>
  </w:style>
  <w:style w:type="paragraph" w:customStyle="1" w:styleId="FigureEmbedded">
    <w:name w:val="Figure Embedded"/>
    <w:aliases w:val="fige"/>
    <w:basedOn w:val="Text"/>
    <w:rsid w:val="00907668"/>
    <w:pPr>
      <w:spacing w:after="180" w:line="240" w:lineRule="auto"/>
    </w:pPr>
  </w:style>
  <w:style w:type="paragraph" w:customStyle="1" w:styleId="TableFootnoteinList2">
    <w:name w:val="Table Footnote in List 2"/>
    <w:aliases w:val="tf2"/>
    <w:basedOn w:val="TextinList2"/>
    <w:next w:val="TextinList2"/>
    <w:rsid w:val="00907668"/>
    <w:pPr>
      <w:pBdr>
        <w:top w:val="single" w:sz="4" w:space="1" w:color="auto"/>
      </w:pBdr>
      <w:spacing w:before="40" w:after="80" w:line="220" w:lineRule="exact"/>
    </w:pPr>
    <w:rPr>
      <w:sz w:val="16"/>
    </w:rPr>
  </w:style>
  <w:style w:type="paragraph" w:customStyle="1" w:styleId="LabelinList1">
    <w:name w:val="Label in List 1"/>
    <w:aliases w:val="l1"/>
    <w:basedOn w:val="TextinList1"/>
    <w:next w:val="TextinList1"/>
    <w:rsid w:val="00907668"/>
    <w:rPr>
      <w:b/>
    </w:rPr>
  </w:style>
  <w:style w:type="paragraph" w:customStyle="1" w:styleId="TextinList1">
    <w:name w:val="Text in List 1"/>
    <w:aliases w:val="t1"/>
    <w:basedOn w:val="Text"/>
    <w:rsid w:val="00907668"/>
    <w:pPr>
      <w:ind w:left="360"/>
    </w:pPr>
  </w:style>
  <w:style w:type="paragraph" w:customStyle="1" w:styleId="CodeinList1">
    <w:name w:val="Code in List 1"/>
    <w:aliases w:val="c1"/>
    <w:basedOn w:val="Code"/>
    <w:rsid w:val="00907668"/>
    <w:pPr>
      <w:ind w:left="360"/>
    </w:pPr>
  </w:style>
  <w:style w:type="paragraph" w:customStyle="1" w:styleId="FigureinList1">
    <w:name w:val="Figure in List 1"/>
    <w:aliases w:val="fig1"/>
    <w:basedOn w:val="Figure"/>
    <w:next w:val="TextinList1"/>
    <w:rsid w:val="00907668"/>
    <w:pPr>
      <w:ind w:left="360"/>
    </w:pPr>
  </w:style>
  <w:style w:type="paragraph" w:customStyle="1" w:styleId="TableFootnoteinList1">
    <w:name w:val="Table Footnote in List 1"/>
    <w:aliases w:val="tf1"/>
    <w:basedOn w:val="TextinList1"/>
    <w:next w:val="TextinList1"/>
    <w:rsid w:val="00907668"/>
    <w:pPr>
      <w:pBdr>
        <w:top w:val="single" w:sz="4" w:space="1" w:color="auto"/>
      </w:pBdr>
      <w:spacing w:before="40" w:after="80" w:line="220" w:lineRule="exact"/>
    </w:pPr>
    <w:rPr>
      <w:sz w:val="16"/>
    </w:rPr>
  </w:style>
  <w:style w:type="character" w:customStyle="1" w:styleId="HTML">
    <w:name w:val="HTML"/>
    <w:basedOn w:val="DefaultParagraphFont"/>
    <w:rsid w:val="00907668"/>
    <w:rPr>
      <w:rFonts w:ascii="Courier New" w:hAnsi="Courier New" w:cs="Times New Roman"/>
      <w:vanish/>
      <w:color w:val="000000"/>
      <w:sz w:val="20"/>
      <w:shd w:val="pct25" w:color="00FF00" w:fill="auto"/>
    </w:rPr>
  </w:style>
  <w:style w:type="paragraph" w:styleId="Footer">
    <w:name w:val="footer"/>
    <w:aliases w:val="f"/>
    <w:basedOn w:val="Normal"/>
    <w:link w:val="FooterChar"/>
    <w:rsid w:val="00907668"/>
    <w:pPr>
      <w:spacing w:before="0" w:after="0" w:line="220" w:lineRule="exact"/>
      <w:jc w:val="right"/>
    </w:pPr>
    <w:rPr>
      <w:color w:val="800000"/>
      <w:sz w:val="16"/>
    </w:rPr>
  </w:style>
  <w:style w:type="character" w:customStyle="1" w:styleId="FooterChar">
    <w:name w:val="Footer Char"/>
    <w:aliases w:val="f Char"/>
    <w:basedOn w:val="DefaultParagraphFont"/>
    <w:link w:val="Footer"/>
    <w:locked/>
    <w:rsid w:val="00F61B70"/>
    <w:rPr>
      <w:rFonts w:ascii="Verdana" w:hAnsi="Verdana" w:cs="Times New Roman"/>
      <w:color w:val="800000"/>
      <w:sz w:val="16"/>
      <w:lang w:val="en-US" w:eastAsia="en-US" w:bidi="ar-SA"/>
    </w:rPr>
  </w:style>
  <w:style w:type="paragraph" w:customStyle="1" w:styleId="AlertText">
    <w:name w:val="Alert Text"/>
    <w:aliases w:val="at"/>
    <w:basedOn w:val="Text"/>
    <w:rsid w:val="00907668"/>
    <w:pPr>
      <w:ind w:left="360"/>
    </w:pPr>
  </w:style>
  <w:style w:type="paragraph" w:customStyle="1" w:styleId="AlertTextinList1">
    <w:name w:val="Alert Text in List 1"/>
    <w:aliases w:val="at1"/>
    <w:basedOn w:val="TextinList1"/>
    <w:rsid w:val="00907668"/>
    <w:pPr>
      <w:ind w:left="720"/>
    </w:pPr>
  </w:style>
  <w:style w:type="paragraph" w:customStyle="1" w:styleId="AlertTextinList2">
    <w:name w:val="Alert Text in List 2"/>
    <w:aliases w:val="at2"/>
    <w:basedOn w:val="TextinList2"/>
    <w:rsid w:val="00907668"/>
    <w:pPr>
      <w:ind w:left="1080"/>
    </w:pPr>
  </w:style>
  <w:style w:type="paragraph" w:customStyle="1" w:styleId="RevisionHistory">
    <w:name w:val="Revision History"/>
    <w:aliases w:val="rh"/>
    <w:basedOn w:val="Text"/>
    <w:rsid w:val="00907668"/>
    <w:pPr>
      <w:ind w:right="1440"/>
    </w:pPr>
    <w:rPr>
      <w:i/>
      <w:vanish/>
      <w:color w:val="800080"/>
    </w:rPr>
  </w:style>
  <w:style w:type="paragraph" w:customStyle="1" w:styleId="BulletedList1">
    <w:name w:val="Bulleted List 1"/>
    <w:aliases w:val="bl1"/>
    <w:basedOn w:val="TextinList1"/>
    <w:rsid w:val="00907668"/>
    <w:pPr>
      <w:numPr>
        <w:numId w:val="11"/>
      </w:numPr>
    </w:pPr>
  </w:style>
  <w:style w:type="paragraph" w:customStyle="1" w:styleId="TextIndented">
    <w:name w:val="Text Indented"/>
    <w:aliases w:val="ti"/>
    <w:basedOn w:val="Text"/>
    <w:rsid w:val="00907668"/>
    <w:pPr>
      <w:ind w:left="360" w:right="360"/>
    </w:pPr>
  </w:style>
  <w:style w:type="paragraph" w:customStyle="1" w:styleId="BulletedList2">
    <w:name w:val="Bulleted List 2"/>
    <w:aliases w:val="bl2"/>
    <w:basedOn w:val="TextinList2"/>
    <w:rsid w:val="00907668"/>
    <w:pPr>
      <w:numPr>
        <w:numId w:val="13"/>
      </w:numPr>
      <w:tabs>
        <w:tab w:val="left" w:pos="720"/>
      </w:tabs>
    </w:pPr>
  </w:style>
  <w:style w:type="paragraph" w:customStyle="1" w:styleId="DefinedTerm">
    <w:name w:val="Defined Term"/>
    <w:aliases w:val="dt"/>
    <w:basedOn w:val="Text"/>
    <w:next w:val="Definition"/>
    <w:rsid w:val="00907668"/>
    <w:pPr>
      <w:spacing w:after="0"/>
    </w:pPr>
  </w:style>
  <w:style w:type="paragraph" w:customStyle="1" w:styleId="Definition">
    <w:name w:val="Definition"/>
    <w:aliases w:val="d"/>
    <w:basedOn w:val="Text"/>
    <w:next w:val="DefinedTerm"/>
    <w:rsid w:val="00907668"/>
    <w:pPr>
      <w:spacing w:before="0"/>
      <w:ind w:left="360"/>
    </w:pPr>
  </w:style>
  <w:style w:type="paragraph" w:customStyle="1" w:styleId="NumberedList1">
    <w:name w:val="Numbered List 1"/>
    <w:aliases w:val="nl1"/>
    <w:basedOn w:val="TextinList1"/>
    <w:rsid w:val="00907668"/>
    <w:pPr>
      <w:numPr>
        <w:numId w:val="12"/>
      </w:numPr>
    </w:pPr>
  </w:style>
  <w:style w:type="paragraph" w:customStyle="1" w:styleId="GlueLinkText">
    <w:name w:val="Glue Link Text"/>
    <w:aliases w:val="glt"/>
    <w:basedOn w:val="Text"/>
    <w:next w:val="Text"/>
    <w:rsid w:val="00907668"/>
  </w:style>
  <w:style w:type="paragraph" w:customStyle="1" w:styleId="IndexTag">
    <w:name w:val="Index Tag"/>
    <w:aliases w:val="it"/>
    <w:basedOn w:val="Text"/>
    <w:rsid w:val="00907668"/>
    <w:pPr>
      <w:spacing w:after="0"/>
      <w:ind w:right="1440"/>
    </w:pPr>
    <w:rPr>
      <w:vanish/>
      <w:color w:val="808000"/>
    </w:rPr>
  </w:style>
  <w:style w:type="paragraph" w:styleId="Header">
    <w:name w:val="header"/>
    <w:aliases w:val="h"/>
    <w:basedOn w:val="Footer"/>
    <w:link w:val="HeaderChar"/>
    <w:rsid w:val="00907668"/>
  </w:style>
  <w:style w:type="character" w:customStyle="1" w:styleId="HeaderChar">
    <w:name w:val="Header Char"/>
    <w:aliases w:val="h Char"/>
    <w:basedOn w:val="DefaultParagraphFont"/>
    <w:link w:val="Header"/>
    <w:locked/>
    <w:rsid w:val="00F61B70"/>
    <w:rPr>
      <w:rFonts w:ascii="Verdana" w:hAnsi="Verdana" w:cs="Times New Roman"/>
      <w:color w:val="800000"/>
      <w:sz w:val="16"/>
    </w:rPr>
  </w:style>
  <w:style w:type="character" w:customStyle="1" w:styleId="CodeFeaturedElement">
    <w:name w:val="Code Featured Element"/>
    <w:aliases w:val="cfe"/>
    <w:basedOn w:val="DefaultParagraphFont"/>
    <w:rsid w:val="00907668"/>
    <w:rPr>
      <w:rFonts w:ascii="Courier New" w:hAnsi="Courier New" w:cs="Times New Roman"/>
      <w:b/>
      <w:sz w:val="20"/>
    </w:rPr>
  </w:style>
  <w:style w:type="paragraph" w:customStyle="1" w:styleId="Copyright">
    <w:name w:val="Copyright"/>
    <w:aliases w:val="copy"/>
    <w:basedOn w:val="Text"/>
    <w:rsid w:val="00907668"/>
    <w:pPr>
      <w:spacing w:line="220" w:lineRule="exact"/>
    </w:pPr>
    <w:rPr>
      <w:sz w:val="16"/>
    </w:rPr>
  </w:style>
  <w:style w:type="paragraph" w:styleId="Index1">
    <w:name w:val="index 1"/>
    <w:aliases w:val="idx1"/>
    <w:basedOn w:val="Text"/>
    <w:semiHidden/>
    <w:rsid w:val="00907668"/>
    <w:pPr>
      <w:spacing w:line="220" w:lineRule="exact"/>
      <w:ind w:left="180" w:hanging="180"/>
    </w:pPr>
    <w:rPr>
      <w:color w:val="800000"/>
      <w:sz w:val="16"/>
    </w:rPr>
  </w:style>
  <w:style w:type="paragraph" w:styleId="IndexHeading">
    <w:name w:val="index heading"/>
    <w:aliases w:val="ih"/>
    <w:basedOn w:val="Heading1"/>
    <w:next w:val="Index1"/>
    <w:semiHidden/>
    <w:rsid w:val="00907668"/>
    <w:pPr>
      <w:spacing w:line="300" w:lineRule="exact"/>
      <w:outlineLvl w:val="4"/>
    </w:pPr>
    <w:rPr>
      <w:color w:val="800000"/>
      <w:sz w:val="26"/>
    </w:rPr>
  </w:style>
  <w:style w:type="paragraph" w:customStyle="1" w:styleId="PrintDivisionTitle">
    <w:name w:val="Print Division Title"/>
    <w:aliases w:val="pdt"/>
    <w:rsid w:val="00907668"/>
    <w:pPr>
      <w:spacing w:before="180" w:after="180" w:line="440" w:lineRule="exact"/>
      <w:jc w:val="right"/>
    </w:pPr>
    <w:rPr>
      <w:rFonts w:ascii="Verdana" w:hAnsi="Verdana"/>
      <w:b/>
      <w:color w:val="800000"/>
      <w:sz w:val="40"/>
    </w:rPr>
  </w:style>
  <w:style w:type="character" w:styleId="PageNumber">
    <w:name w:val="page number"/>
    <w:aliases w:val="pn"/>
    <w:basedOn w:val="DefaultParagraphFont"/>
    <w:rsid w:val="00907668"/>
    <w:rPr>
      <w:rFonts w:ascii="Verdana" w:hAnsi="Verdana" w:cs="Times New Roman"/>
      <w:b/>
      <w:color w:val="800000"/>
      <w:sz w:val="16"/>
    </w:rPr>
  </w:style>
  <w:style w:type="paragraph" w:customStyle="1" w:styleId="PrintMSCorp">
    <w:name w:val="Print MS Corp"/>
    <w:aliases w:val="pms"/>
    <w:next w:val="Text"/>
    <w:rsid w:val="00907668"/>
    <w:pPr>
      <w:spacing w:before="180" w:after="60" w:line="300" w:lineRule="exact"/>
      <w:jc w:val="right"/>
    </w:pPr>
    <w:rPr>
      <w:rFonts w:ascii="Microsoft Logo 95" w:hAnsi="Microsoft Logo 95"/>
      <w:noProof/>
      <w:color w:val="800000"/>
      <w:sz w:val="26"/>
    </w:rPr>
  </w:style>
  <w:style w:type="paragraph" w:customStyle="1" w:styleId="Slugline">
    <w:name w:val="Slugline"/>
    <w:aliases w:val="slug"/>
    <w:basedOn w:val="Footer"/>
    <w:rsid w:val="00907668"/>
    <w:pPr>
      <w:framePr w:h="800" w:hRule="exact" w:hSpace="180" w:vSpace="180" w:wrap="around" w:vAnchor="page" w:hAnchor="margin" w:y="14601"/>
      <w:spacing w:line="180" w:lineRule="exact"/>
      <w:jc w:val="left"/>
    </w:pPr>
    <w:rPr>
      <w:sz w:val="12"/>
    </w:rPr>
  </w:style>
  <w:style w:type="paragraph" w:styleId="TOC1">
    <w:name w:val="toc 1"/>
    <w:aliases w:val="toc1"/>
    <w:basedOn w:val="Heading1"/>
    <w:uiPriority w:val="39"/>
    <w:semiHidden/>
    <w:qFormat/>
    <w:rsid w:val="00907668"/>
    <w:pPr>
      <w:tabs>
        <w:tab w:val="left" w:pos="360"/>
      </w:tabs>
      <w:spacing w:before="60" w:line="240" w:lineRule="exact"/>
      <w:outlineLvl w:val="9"/>
    </w:pPr>
    <w:rPr>
      <w:color w:val="800000"/>
      <w:sz w:val="20"/>
    </w:rPr>
  </w:style>
  <w:style w:type="paragraph" w:styleId="TOC2">
    <w:name w:val="toc 2"/>
    <w:aliases w:val="toc2"/>
    <w:basedOn w:val="Text"/>
    <w:uiPriority w:val="39"/>
    <w:semiHidden/>
    <w:qFormat/>
    <w:rsid w:val="00907668"/>
    <w:pPr>
      <w:ind w:left="360"/>
    </w:pPr>
    <w:rPr>
      <w:color w:val="800000"/>
    </w:rPr>
  </w:style>
  <w:style w:type="paragraph" w:styleId="TOC3">
    <w:name w:val="toc 3"/>
    <w:aliases w:val="toc3"/>
    <w:basedOn w:val="TOC2"/>
    <w:uiPriority w:val="39"/>
    <w:semiHidden/>
    <w:qFormat/>
    <w:rsid w:val="00907668"/>
    <w:pPr>
      <w:ind w:left="720"/>
    </w:pPr>
  </w:style>
  <w:style w:type="paragraph" w:styleId="TOC4">
    <w:name w:val="toc 4"/>
    <w:aliases w:val="toc4"/>
    <w:basedOn w:val="TOC2"/>
    <w:uiPriority w:val="39"/>
    <w:rsid w:val="00907668"/>
    <w:pPr>
      <w:ind w:left="1080"/>
    </w:pPr>
  </w:style>
  <w:style w:type="paragraph" w:styleId="Index2">
    <w:name w:val="index 2"/>
    <w:aliases w:val="idx2"/>
    <w:basedOn w:val="Index1"/>
    <w:semiHidden/>
    <w:rsid w:val="00907668"/>
    <w:pPr>
      <w:ind w:left="540"/>
    </w:pPr>
  </w:style>
  <w:style w:type="paragraph" w:styleId="Index3">
    <w:name w:val="index 3"/>
    <w:aliases w:val="idx3"/>
    <w:basedOn w:val="Index1"/>
    <w:semiHidden/>
    <w:rsid w:val="00907668"/>
    <w:pPr>
      <w:ind w:left="900"/>
    </w:pPr>
  </w:style>
  <w:style w:type="character" w:customStyle="1" w:styleId="MultilanguageMarkerAuto">
    <w:name w:val="Multilanguage Marker Auto"/>
    <w:aliases w:val="mma"/>
    <w:basedOn w:val="DefaultParagraphFont"/>
    <w:rsid w:val="00907668"/>
    <w:rPr>
      <w:rFonts w:ascii="Verdana" w:hAnsi="Verdana" w:cs="Times New Roman"/>
      <w:color w:val="FF00FF"/>
      <w:sz w:val="16"/>
    </w:rPr>
  </w:style>
  <w:style w:type="paragraph" w:customStyle="1" w:styleId="MultilanguageMarkerExplicitBegin">
    <w:name w:val="Multilanguage Marker Explicit Begin"/>
    <w:aliases w:val="mmeb"/>
    <w:basedOn w:val="Text"/>
    <w:rsid w:val="00907668"/>
    <w:pPr>
      <w:spacing w:line="220" w:lineRule="exact"/>
    </w:pPr>
    <w:rPr>
      <w:color w:val="FF00FF"/>
      <w:sz w:val="16"/>
    </w:rPr>
  </w:style>
  <w:style w:type="paragraph" w:customStyle="1" w:styleId="MultilanguageMarkerExplicitEnd">
    <w:name w:val="Multilanguage Marker Explicit End"/>
    <w:aliases w:val="mmee"/>
    <w:basedOn w:val="MultilanguageMarkerExplicitBegin"/>
    <w:rsid w:val="00907668"/>
    <w:rPr>
      <w:color w:val="800080"/>
    </w:rPr>
  </w:style>
  <w:style w:type="character" w:customStyle="1" w:styleId="Bold">
    <w:name w:val="Bold"/>
    <w:aliases w:val="b"/>
    <w:basedOn w:val="DefaultParagraphFont"/>
    <w:rsid w:val="00907668"/>
    <w:rPr>
      <w:rFonts w:cs="Times New Roman"/>
      <w:b/>
    </w:rPr>
  </w:style>
  <w:style w:type="character" w:customStyle="1" w:styleId="BoldItalic">
    <w:name w:val="Bold Italic"/>
    <w:aliases w:val="bi"/>
    <w:basedOn w:val="DefaultParagraphFont"/>
    <w:rsid w:val="00907668"/>
    <w:rPr>
      <w:rFonts w:cs="Times New Roman"/>
      <w:b/>
      <w:i/>
    </w:rPr>
  </w:style>
  <w:style w:type="character" w:customStyle="1" w:styleId="Italic">
    <w:name w:val="Italic"/>
    <w:aliases w:val="i"/>
    <w:basedOn w:val="DefaultParagraphFont"/>
    <w:rsid w:val="00907668"/>
    <w:rPr>
      <w:rFonts w:cs="Times New Roman"/>
      <w:i/>
    </w:rPr>
  </w:style>
  <w:style w:type="paragraph" w:customStyle="1" w:styleId="LabelSpecial">
    <w:name w:val="Label Special"/>
    <w:aliases w:val="ls"/>
    <w:basedOn w:val="Label"/>
    <w:rsid w:val="00907668"/>
  </w:style>
  <w:style w:type="paragraph" w:customStyle="1" w:styleId="PrintDivisionNumber">
    <w:name w:val="Print Division Number"/>
    <w:aliases w:val="pdn"/>
    <w:basedOn w:val="PrintDivisionTitle"/>
    <w:rsid w:val="00907668"/>
    <w:pPr>
      <w:spacing w:after="0" w:line="260" w:lineRule="exact"/>
      <w:ind w:right="-120"/>
    </w:pPr>
    <w:rPr>
      <w:b w:val="0"/>
      <w:caps/>
      <w:spacing w:val="120"/>
      <w:sz w:val="20"/>
    </w:rPr>
  </w:style>
  <w:style w:type="character" w:customStyle="1" w:styleId="Strikethrough">
    <w:name w:val="Strikethrough"/>
    <w:aliases w:val="strike"/>
    <w:basedOn w:val="DefaultParagraphFont"/>
    <w:rsid w:val="00907668"/>
    <w:rPr>
      <w:rFonts w:cs="Times New Roman"/>
      <w:strike/>
    </w:rPr>
  </w:style>
  <w:style w:type="character" w:customStyle="1" w:styleId="Subscript">
    <w:name w:val="Subscript"/>
    <w:aliases w:val="sub"/>
    <w:basedOn w:val="DefaultParagraphFont"/>
    <w:rsid w:val="00907668"/>
    <w:rPr>
      <w:rFonts w:cs="Times New Roman"/>
      <w:vertAlign w:val="subscript"/>
    </w:rPr>
  </w:style>
  <w:style w:type="character" w:customStyle="1" w:styleId="Superscript">
    <w:name w:val="Superscript"/>
    <w:aliases w:val="sup"/>
    <w:basedOn w:val="DefaultParagraphFont"/>
    <w:rsid w:val="00907668"/>
    <w:rPr>
      <w:rFonts w:cs="Times New Roman"/>
      <w:vertAlign w:val="superscript"/>
    </w:rPr>
  </w:style>
  <w:style w:type="paragraph" w:styleId="Caption">
    <w:name w:val="caption"/>
    <w:basedOn w:val="Normal"/>
    <w:next w:val="Normal"/>
    <w:qFormat/>
    <w:rsid w:val="00AE6767"/>
    <w:rPr>
      <w:b/>
      <w:bCs/>
    </w:rPr>
  </w:style>
  <w:style w:type="character" w:customStyle="1" w:styleId="TextChar">
    <w:name w:val="Text Char"/>
    <w:aliases w:val="t Char"/>
    <w:basedOn w:val="DefaultParagraphFont"/>
    <w:link w:val="Text"/>
    <w:locked/>
    <w:rsid w:val="00907668"/>
    <w:rPr>
      <w:rFonts w:ascii="Verdana" w:hAnsi="Verdana"/>
      <w:color w:val="000000"/>
      <w:lang w:val="en-US" w:eastAsia="en-US" w:bidi="ar-SA"/>
    </w:rPr>
  </w:style>
  <w:style w:type="table" w:styleId="TableGrid">
    <w:name w:val="Table Grid"/>
    <w:basedOn w:val="TableNormal"/>
    <w:uiPriority w:val="59"/>
    <w:rsid w:val="00557AB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edlist10">
    <w:name w:val="bulletedlist1"/>
    <w:basedOn w:val="Normal"/>
    <w:rsid w:val="00B60D50"/>
    <w:pPr>
      <w:spacing w:before="0" w:after="0" w:line="240" w:lineRule="auto"/>
    </w:pPr>
    <w:rPr>
      <w:rFonts w:ascii="Times New Roman" w:hAnsi="Times New Roman"/>
      <w:color w:val="auto"/>
      <w:sz w:val="24"/>
      <w:szCs w:val="24"/>
    </w:rPr>
  </w:style>
  <w:style w:type="paragraph" w:customStyle="1" w:styleId="TableHead">
    <w:name w:val="Table Head"/>
    <w:basedOn w:val="Normal"/>
    <w:next w:val="Normal"/>
    <w:link w:val="TableHeadChar"/>
    <w:rsid w:val="001671F9"/>
    <w:pPr>
      <w:keepNext/>
      <w:keepLines/>
      <w:tabs>
        <w:tab w:val="left" w:pos="360"/>
        <w:tab w:val="left" w:pos="720"/>
      </w:tabs>
      <w:spacing w:before="160" w:after="0" w:line="240" w:lineRule="auto"/>
    </w:pPr>
    <w:rPr>
      <w:rFonts w:ascii="Calibri" w:eastAsia="MS Mincho" w:hAnsi="Calibri" w:cs="Arial"/>
      <w:b/>
      <w:color w:val="auto"/>
    </w:rPr>
  </w:style>
  <w:style w:type="character" w:customStyle="1" w:styleId="TableHeadChar">
    <w:name w:val="Table Head Char"/>
    <w:basedOn w:val="DefaultParagraphFont"/>
    <w:link w:val="TableHead"/>
    <w:locked/>
    <w:rsid w:val="001671F9"/>
    <w:rPr>
      <w:rFonts w:ascii="Calibri" w:eastAsia="MS Mincho" w:hAnsi="Calibri" w:cs="Arial"/>
      <w:b/>
      <w:lang w:val="en-US" w:eastAsia="en-US" w:bidi="ar-SA"/>
    </w:rPr>
  </w:style>
  <w:style w:type="paragraph" w:customStyle="1" w:styleId="Checkbox">
    <w:name w:val="Checkbox"/>
    <w:basedOn w:val="Normal"/>
    <w:rsid w:val="001671F9"/>
    <w:pPr>
      <w:numPr>
        <w:numId w:val="16"/>
      </w:numPr>
      <w:tabs>
        <w:tab w:val="left" w:pos="360"/>
      </w:tabs>
      <w:spacing w:before="0" w:after="80" w:line="240" w:lineRule="auto"/>
      <w:ind w:left="360"/>
    </w:pPr>
    <w:rPr>
      <w:rFonts w:ascii="Calibri" w:eastAsia="MS Mincho" w:hAnsi="Calibri" w:cs="Arial"/>
      <w:color w:val="auto"/>
    </w:rPr>
  </w:style>
  <w:style w:type="paragraph" w:customStyle="1" w:styleId="TableBullet">
    <w:name w:val="Table Bullet"/>
    <w:basedOn w:val="Normal"/>
    <w:rsid w:val="001671F9"/>
    <w:pPr>
      <w:numPr>
        <w:numId w:val="17"/>
      </w:numPr>
      <w:tabs>
        <w:tab w:val="left" w:pos="160"/>
      </w:tabs>
      <w:spacing w:before="20" w:after="20" w:line="240" w:lineRule="auto"/>
      <w:ind w:left="160" w:hanging="160"/>
    </w:pPr>
    <w:rPr>
      <w:rFonts w:ascii="Calibri" w:eastAsia="MS Mincho" w:hAnsi="Calibri" w:cs="Arial"/>
      <w:color w:val="auto"/>
      <w:sz w:val="18"/>
      <w:szCs w:val="18"/>
    </w:rPr>
  </w:style>
  <w:style w:type="paragraph" w:styleId="NormalIndent">
    <w:name w:val="Normal Indent"/>
    <w:basedOn w:val="Normal"/>
    <w:locked/>
    <w:rsid w:val="000E6CAD"/>
    <w:pPr>
      <w:ind w:left="720"/>
    </w:pPr>
  </w:style>
  <w:style w:type="paragraph" w:styleId="Revision">
    <w:name w:val="Revision"/>
    <w:hidden/>
    <w:uiPriority w:val="99"/>
    <w:semiHidden/>
    <w:rsid w:val="009F3469"/>
    <w:rPr>
      <w:rFonts w:ascii="Verdana" w:hAnsi="Verdana"/>
      <w:color w:val="000000"/>
    </w:rPr>
  </w:style>
  <w:style w:type="paragraph" w:customStyle="1" w:styleId="Art">
    <w:name w:val="Art"/>
    <w:basedOn w:val="Text"/>
    <w:rsid w:val="0003219A"/>
    <w:pPr>
      <w:keepNext/>
      <w:spacing w:line="240" w:lineRule="auto"/>
    </w:pPr>
  </w:style>
  <w:style w:type="paragraph" w:customStyle="1" w:styleId="DSTOC1-0">
    <w:name w:val="DSTOC1-0"/>
    <w:basedOn w:val="Heading1"/>
    <w:rsid w:val="005402DC"/>
    <w:pPr>
      <w:pBdr>
        <w:bottom w:val="single" w:sz="4" w:space="6" w:color="auto"/>
      </w:pBdr>
      <w:spacing w:before="480" w:after="120" w:line="240" w:lineRule="auto"/>
      <w:outlineLvl w:val="9"/>
    </w:pPr>
    <w:rPr>
      <w:rFonts w:ascii="Arial" w:eastAsia="SimSun" w:hAnsi="Arial"/>
      <w:bCs/>
      <w:color w:val="auto"/>
      <w:sz w:val="40"/>
      <w:szCs w:val="40"/>
    </w:rPr>
  </w:style>
  <w:style w:type="paragraph" w:customStyle="1" w:styleId="DSTOC2-0">
    <w:name w:val="DSTOC2-0"/>
    <w:basedOn w:val="Heading2"/>
    <w:rsid w:val="005402DC"/>
    <w:pPr>
      <w:spacing w:before="360" w:line="240" w:lineRule="auto"/>
      <w:outlineLvl w:val="9"/>
    </w:pPr>
    <w:rPr>
      <w:rFonts w:ascii="Arial" w:eastAsia="SimSun" w:hAnsi="Arial"/>
      <w:bCs/>
      <w:iCs/>
      <w:color w:val="auto"/>
      <w:szCs w:val="36"/>
    </w:rPr>
  </w:style>
  <w:style w:type="paragraph" w:customStyle="1" w:styleId="TableSpacing">
    <w:name w:val="Table Spacing"/>
    <w:aliases w:val="ts"/>
    <w:basedOn w:val="Normal"/>
    <w:next w:val="Normal"/>
    <w:rsid w:val="005402DC"/>
    <w:pPr>
      <w:spacing w:before="80" w:after="80" w:line="240" w:lineRule="auto"/>
    </w:pPr>
    <w:rPr>
      <w:rFonts w:ascii="Arial" w:eastAsia="SimSun" w:hAnsi="Arial"/>
      <w:color w:val="auto"/>
      <w:kern w:val="24"/>
      <w:sz w:val="8"/>
      <w:szCs w:val="8"/>
    </w:rPr>
  </w:style>
  <w:style w:type="paragraph" w:customStyle="1" w:styleId="PageFooter">
    <w:name w:val="Page Footer"/>
    <w:aliases w:val="pgf"/>
    <w:basedOn w:val="Normal"/>
    <w:rsid w:val="005402DC"/>
    <w:pPr>
      <w:spacing w:before="0" w:after="0" w:line="240" w:lineRule="auto"/>
      <w:jc w:val="right"/>
    </w:pPr>
    <w:rPr>
      <w:rFonts w:ascii="Arial" w:eastAsia="SimSun" w:hAnsi="Arial"/>
      <w:color w:val="auto"/>
      <w:kern w:val="24"/>
    </w:rPr>
  </w:style>
  <w:style w:type="paragraph" w:styleId="TOCHeading">
    <w:name w:val="TOC Heading"/>
    <w:basedOn w:val="Heading1"/>
    <w:next w:val="Normal"/>
    <w:uiPriority w:val="39"/>
    <w:semiHidden/>
    <w:unhideWhenUsed/>
    <w:qFormat/>
    <w:rsid w:val="000D7FEE"/>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ListParagraph">
    <w:name w:val="List Paragraph"/>
    <w:basedOn w:val="Normal"/>
    <w:uiPriority w:val="34"/>
    <w:qFormat/>
    <w:rsid w:val="000D7FEE"/>
    <w:pPr>
      <w:ind w:left="720"/>
      <w:contextualSpacing/>
    </w:pPr>
  </w:style>
</w:styles>
</file>

<file path=word/webSettings.xml><?xml version="1.0" encoding="utf-8"?>
<w:webSettings xmlns:r="http://schemas.openxmlformats.org/officeDocument/2006/relationships" xmlns:w="http://schemas.openxmlformats.org/wordprocessingml/2006/main">
  <w:divs>
    <w:div w:id="186523152">
      <w:bodyDiv w:val="1"/>
      <w:marLeft w:val="0"/>
      <w:marRight w:val="0"/>
      <w:marTop w:val="0"/>
      <w:marBottom w:val="0"/>
      <w:divBdr>
        <w:top w:val="none" w:sz="0" w:space="0" w:color="auto"/>
        <w:left w:val="none" w:sz="0" w:space="0" w:color="auto"/>
        <w:bottom w:val="none" w:sz="0" w:space="0" w:color="auto"/>
        <w:right w:val="none" w:sz="0" w:space="0" w:color="auto"/>
      </w:divBdr>
      <w:divsChild>
        <w:div w:id="1372681398">
          <w:marLeft w:val="0"/>
          <w:marRight w:val="0"/>
          <w:marTop w:val="0"/>
          <w:marBottom w:val="0"/>
          <w:divBdr>
            <w:top w:val="none" w:sz="0" w:space="0" w:color="auto"/>
            <w:left w:val="none" w:sz="0" w:space="0" w:color="auto"/>
            <w:bottom w:val="none" w:sz="0" w:space="0" w:color="auto"/>
            <w:right w:val="none" w:sz="0" w:space="0" w:color="auto"/>
          </w:divBdr>
          <w:divsChild>
            <w:div w:id="779255665">
              <w:marLeft w:val="0"/>
              <w:marRight w:val="0"/>
              <w:marTop w:val="0"/>
              <w:marBottom w:val="0"/>
              <w:divBdr>
                <w:top w:val="none" w:sz="0" w:space="0" w:color="auto"/>
                <w:left w:val="none" w:sz="0" w:space="0" w:color="auto"/>
                <w:bottom w:val="none" w:sz="0" w:space="0" w:color="auto"/>
                <w:right w:val="none" w:sz="0" w:space="0" w:color="auto"/>
              </w:divBdr>
              <w:divsChild>
                <w:div w:id="75788941">
                  <w:marLeft w:val="0"/>
                  <w:marRight w:val="0"/>
                  <w:marTop w:val="0"/>
                  <w:marBottom w:val="0"/>
                  <w:divBdr>
                    <w:top w:val="none" w:sz="0" w:space="0" w:color="auto"/>
                    <w:left w:val="none" w:sz="0" w:space="0" w:color="auto"/>
                    <w:bottom w:val="none" w:sz="0" w:space="0" w:color="auto"/>
                    <w:right w:val="none" w:sz="0" w:space="0" w:color="auto"/>
                  </w:divBdr>
                  <w:divsChild>
                    <w:div w:id="2089230675">
                      <w:marLeft w:val="0"/>
                      <w:marRight w:val="0"/>
                      <w:marTop w:val="0"/>
                      <w:marBottom w:val="0"/>
                      <w:divBdr>
                        <w:top w:val="none" w:sz="0" w:space="0" w:color="auto"/>
                        <w:left w:val="none" w:sz="0" w:space="0" w:color="auto"/>
                        <w:bottom w:val="none" w:sz="0" w:space="0" w:color="auto"/>
                        <w:right w:val="none" w:sz="0" w:space="0" w:color="auto"/>
                      </w:divBdr>
                      <w:divsChild>
                        <w:div w:id="20302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09656">
      <w:bodyDiv w:val="1"/>
      <w:marLeft w:val="0"/>
      <w:marRight w:val="0"/>
      <w:marTop w:val="0"/>
      <w:marBottom w:val="0"/>
      <w:divBdr>
        <w:top w:val="none" w:sz="0" w:space="0" w:color="auto"/>
        <w:left w:val="none" w:sz="0" w:space="0" w:color="auto"/>
        <w:bottom w:val="none" w:sz="0" w:space="0" w:color="auto"/>
        <w:right w:val="none" w:sz="0" w:space="0" w:color="auto"/>
      </w:divBdr>
      <w:divsChild>
        <w:div w:id="223413305">
          <w:marLeft w:val="0"/>
          <w:marRight w:val="0"/>
          <w:marTop w:val="0"/>
          <w:marBottom w:val="0"/>
          <w:divBdr>
            <w:top w:val="none" w:sz="0" w:space="0" w:color="auto"/>
            <w:left w:val="none" w:sz="0" w:space="0" w:color="auto"/>
            <w:bottom w:val="none" w:sz="0" w:space="0" w:color="auto"/>
            <w:right w:val="none" w:sz="0" w:space="0" w:color="auto"/>
          </w:divBdr>
        </w:div>
      </w:divsChild>
    </w:div>
    <w:div w:id="294140938">
      <w:bodyDiv w:val="1"/>
      <w:marLeft w:val="0"/>
      <w:marRight w:val="0"/>
      <w:marTop w:val="0"/>
      <w:marBottom w:val="0"/>
      <w:divBdr>
        <w:top w:val="none" w:sz="0" w:space="0" w:color="auto"/>
        <w:left w:val="none" w:sz="0" w:space="0" w:color="auto"/>
        <w:bottom w:val="none" w:sz="0" w:space="0" w:color="auto"/>
        <w:right w:val="none" w:sz="0" w:space="0" w:color="auto"/>
      </w:divBdr>
    </w:div>
    <w:div w:id="409084603">
      <w:bodyDiv w:val="1"/>
      <w:marLeft w:val="0"/>
      <w:marRight w:val="0"/>
      <w:marTop w:val="0"/>
      <w:marBottom w:val="0"/>
      <w:divBdr>
        <w:top w:val="none" w:sz="0" w:space="0" w:color="auto"/>
        <w:left w:val="none" w:sz="0" w:space="0" w:color="auto"/>
        <w:bottom w:val="none" w:sz="0" w:space="0" w:color="auto"/>
        <w:right w:val="none" w:sz="0" w:space="0" w:color="auto"/>
      </w:divBdr>
    </w:div>
    <w:div w:id="469247694">
      <w:bodyDiv w:val="1"/>
      <w:marLeft w:val="0"/>
      <w:marRight w:val="0"/>
      <w:marTop w:val="0"/>
      <w:marBottom w:val="0"/>
      <w:divBdr>
        <w:top w:val="none" w:sz="0" w:space="0" w:color="auto"/>
        <w:left w:val="none" w:sz="0" w:space="0" w:color="auto"/>
        <w:bottom w:val="none" w:sz="0" w:space="0" w:color="auto"/>
        <w:right w:val="none" w:sz="0" w:space="0" w:color="auto"/>
      </w:divBdr>
    </w:div>
    <w:div w:id="554859190">
      <w:bodyDiv w:val="1"/>
      <w:marLeft w:val="0"/>
      <w:marRight w:val="0"/>
      <w:marTop w:val="0"/>
      <w:marBottom w:val="0"/>
      <w:divBdr>
        <w:top w:val="none" w:sz="0" w:space="0" w:color="auto"/>
        <w:left w:val="none" w:sz="0" w:space="0" w:color="auto"/>
        <w:bottom w:val="none" w:sz="0" w:space="0" w:color="auto"/>
        <w:right w:val="none" w:sz="0" w:space="0" w:color="auto"/>
      </w:divBdr>
    </w:div>
    <w:div w:id="567613448">
      <w:bodyDiv w:val="1"/>
      <w:marLeft w:val="0"/>
      <w:marRight w:val="0"/>
      <w:marTop w:val="0"/>
      <w:marBottom w:val="0"/>
      <w:divBdr>
        <w:top w:val="none" w:sz="0" w:space="0" w:color="auto"/>
        <w:left w:val="none" w:sz="0" w:space="0" w:color="auto"/>
        <w:bottom w:val="none" w:sz="0" w:space="0" w:color="auto"/>
        <w:right w:val="none" w:sz="0" w:space="0" w:color="auto"/>
      </w:divBdr>
      <w:divsChild>
        <w:div w:id="1921256064">
          <w:marLeft w:val="0"/>
          <w:marRight w:val="0"/>
          <w:marTop w:val="0"/>
          <w:marBottom w:val="0"/>
          <w:divBdr>
            <w:top w:val="none" w:sz="0" w:space="0" w:color="auto"/>
            <w:left w:val="none" w:sz="0" w:space="0" w:color="auto"/>
            <w:bottom w:val="none" w:sz="0" w:space="0" w:color="auto"/>
            <w:right w:val="none" w:sz="0" w:space="0" w:color="auto"/>
          </w:divBdr>
        </w:div>
        <w:div w:id="1778790843">
          <w:marLeft w:val="0"/>
          <w:marRight w:val="0"/>
          <w:marTop w:val="0"/>
          <w:marBottom w:val="0"/>
          <w:divBdr>
            <w:top w:val="none" w:sz="0" w:space="0" w:color="auto"/>
            <w:left w:val="none" w:sz="0" w:space="0" w:color="auto"/>
            <w:bottom w:val="none" w:sz="0" w:space="0" w:color="auto"/>
            <w:right w:val="none" w:sz="0" w:space="0" w:color="auto"/>
          </w:divBdr>
        </w:div>
        <w:div w:id="2092923207">
          <w:marLeft w:val="0"/>
          <w:marRight w:val="0"/>
          <w:marTop w:val="0"/>
          <w:marBottom w:val="0"/>
          <w:divBdr>
            <w:top w:val="none" w:sz="0" w:space="0" w:color="auto"/>
            <w:left w:val="none" w:sz="0" w:space="0" w:color="auto"/>
            <w:bottom w:val="none" w:sz="0" w:space="0" w:color="auto"/>
            <w:right w:val="none" w:sz="0" w:space="0" w:color="auto"/>
          </w:divBdr>
        </w:div>
        <w:div w:id="1216743130">
          <w:marLeft w:val="0"/>
          <w:marRight w:val="0"/>
          <w:marTop w:val="0"/>
          <w:marBottom w:val="0"/>
          <w:divBdr>
            <w:top w:val="none" w:sz="0" w:space="0" w:color="auto"/>
            <w:left w:val="none" w:sz="0" w:space="0" w:color="auto"/>
            <w:bottom w:val="none" w:sz="0" w:space="0" w:color="auto"/>
            <w:right w:val="none" w:sz="0" w:space="0" w:color="auto"/>
          </w:divBdr>
        </w:div>
        <w:div w:id="1676036491">
          <w:marLeft w:val="0"/>
          <w:marRight w:val="0"/>
          <w:marTop w:val="0"/>
          <w:marBottom w:val="0"/>
          <w:divBdr>
            <w:top w:val="none" w:sz="0" w:space="0" w:color="auto"/>
            <w:left w:val="none" w:sz="0" w:space="0" w:color="auto"/>
            <w:bottom w:val="none" w:sz="0" w:space="0" w:color="auto"/>
            <w:right w:val="none" w:sz="0" w:space="0" w:color="auto"/>
          </w:divBdr>
        </w:div>
        <w:div w:id="1731146394">
          <w:marLeft w:val="0"/>
          <w:marRight w:val="0"/>
          <w:marTop w:val="0"/>
          <w:marBottom w:val="0"/>
          <w:divBdr>
            <w:top w:val="none" w:sz="0" w:space="0" w:color="auto"/>
            <w:left w:val="none" w:sz="0" w:space="0" w:color="auto"/>
            <w:bottom w:val="none" w:sz="0" w:space="0" w:color="auto"/>
            <w:right w:val="none" w:sz="0" w:space="0" w:color="auto"/>
          </w:divBdr>
        </w:div>
        <w:div w:id="1564947350">
          <w:marLeft w:val="0"/>
          <w:marRight w:val="0"/>
          <w:marTop w:val="0"/>
          <w:marBottom w:val="0"/>
          <w:divBdr>
            <w:top w:val="none" w:sz="0" w:space="0" w:color="auto"/>
            <w:left w:val="none" w:sz="0" w:space="0" w:color="auto"/>
            <w:bottom w:val="none" w:sz="0" w:space="0" w:color="auto"/>
            <w:right w:val="none" w:sz="0" w:space="0" w:color="auto"/>
          </w:divBdr>
        </w:div>
        <w:div w:id="529688228">
          <w:marLeft w:val="0"/>
          <w:marRight w:val="0"/>
          <w:marTop w:val="0"/>
          <w:marBottom w:val="0"/>
          <w:divBdr>
            <w:top w:val="none" w:sz="0" w:space="0" w:color="auto"/>
            <w:left w:val="none" w:sz="0" w:space="0" w:color="auto"/>
            <w:bottom w:val="none" w:sz="0" w:space="0" w:color="auto"/>
            <w:right w:val="none" w:sz="0" w:space="0" w:color="auto"/>
          </w:divBdr>
        </w:div>
        <w:div w:id="1057122710">
          <w:marLeft w:val="0"/>
          <w:marRight w:val="0"/>
          <w:marTop w:val="0"/>
          <w:marBottom w:val="0"/>
          <w:divBdr>
            <w:top w:val="none" w:sz="0" w:space="0" w:color="auto"/>
            <w:left w:val="none" w:sz="0" w:space="0" w:color="auto"/>
            <w:bottom w:val="none" w:sz="0" w:space="0" w:color="auto"/>
            <w:right w:val="none" w:sz="0" w:space="0" w:color="auto"/>
          </w:divBdr>
        </w:div>
        <w:div w:id="1445882771">
          <w:marLeft w:val="0"/>
          <w:marRight w:val="0"/>
          <w:marTop w:val="0"/>
          <w:marBottom w:val="0"/>
          <w:divBdr>
            <w:top w:val="none" w:sz="0" w:space="0" w:color="auto"/>
            <w:left w:val="none" w:sz="0" w:space="0" w:color="auto"/>
            <w:bottom w:val="none" w:sz="0" w:space="0" w:color="auto"/>
            <w:right w:val="none" w:sz="0" w:space="0" w:color="auto"/>
          </w:divBdr>
        </w:div>
        <w:div w:id="352462318">
          <w:marLeft w:val="0"/>
          <w:marRight w:val="0"/>
          <w:marTop w:val="0"/>
          <w:marBottom w:val="0"/>
          <w:divBdr>
            <w:top w:val="none" w:sz="0" w:space="0" w:color="auto"/>
            <w:left w:val="none" w:sz="0" w:space="0" w:color="auto"/>
            <w:bottom w:val="none" w:sz="0" w:space="0" w:color="auto"/>
            <w:right w:val="none" w:sz="0" w:space="0" w:color="auto"/>
          </w:divBdr>
        </w:div>
        <w:div w:id="975187035">
          <w:marLeft w:val="0"/>
          <w:marRight w:val="0"/>
          <w:marTop w:val="0"/>
          <w:marBottom w:val="0"/>
          <w:divBdr>
            <w:top w:val="none" w:sz="0" w:space="0" w:color="auto"/>
            <w:left w:val="none" w:sz="0" w:space="0" w:color="auto"/>
            <w:bottom w:val="none" w:sz="0" w:space="0" w:color="auto"/>
            <w:right w:val="none" w:sz="0" w:space="0" w:color="auto"/>
          </w:divBdr>
        </w:div>
      </w:divsChild>
    </w:div>
    <w:div w:id="595596563">
      <w:bodyDiv w:val="1"/>
      <w:marLeft w:val="0"/>
      <w:marRight w:val="0"/>
      <w:marTop w:val="0"/>
      <w:marBottom w:val="0"/>
      <w:divBdr>
        <w:top w:val="none" w:sz="0" w:space="0" w:color="auto"/>
        <w:left w:val="none" w:sz="0" w:space="0" w:color="auto"/>
        <w:bottom w:val="none" w:sz="0" w:space="0" w:color="auto"/>
        <w:right w:val="none" w:sz="0" w:space="0" w:color="auto"/>
      </w:divBdr>
    </w:div>
    <w:div w:id="1221601118">
      <w:bodyDiv w:val="1"/>
      <w:marLeft w:val="0"/>
      <w:marRight w:val="0"/>
      <w:marTop w:val="0"/>
      <w:marBottom w:val="0"/>
      <w:divBdr>
        <w:top w:val="none" w:sz="0" w:space="0" w:color="auto"/>
        <w:left w:val="none" w:sz="0" w:space="0" w:color="auto"/>
        <w:bottom w:val="none" w:sz="0" w:space="0" w:color="auto"/>
        <w:right w:val="none" w:sz="0" w:space="0" w:color="auto"/>
      </w:divBdr>
    </w:div>
    <w:div w:id="1223521112">
      <w:bodyDiv w:val="1"/>
      <w:marLeft w:val="0"/>
      <w:marRight w:val="0"/>
      <w:marTop w:val="0"/>
      <w:marBottom w:val="0"/>
      <w:divBdr>
        <w:top w:val="none" w:sz="0" w:space="0" w:color="auto"/>
        <w:left w:val="none" w:sz="0" w:space="0" w:color="auto"/>
        <w:bottom w:val="none" w:sz="0" w:space="0" w:color="auto"/>
        <w:right w:val="none" w:sz="0" w:space="0" w:color="auto"/>
      </w:divBdr>
    </w:div>
    <w:div w:id="1319190961">
      <w:bodyDiv w:val="1"/>
      <w:marLeft w:val="0"/>
      <w:marRight w:val="0"/>
      <w:marTop w:val="0"/>
      <w:marBottom w:val="0"/>
      <w:divBdr>
        <w:top w:val="none" w:sz="0" w:space="0" w:color="auto"/>
        <w:left w:val="none" w:sz="0" w:space="0" w:color="auto"/>
        <w:bottom w:val="none" w:sz="0" w:space="0" w:color="auto"/>
        <w:right w:val="none" w:sz="0" w:space="0" w:color="auto"/>
      </w:divBdr>
      <w:divsChild>
        <w:div w:id="1330789439">
          <w:marLeft w:val="0"/>
          <w:marRight w:val="0"/>
          <w:marTop w:val="0"/>
          <w:marBottom w:val="0"/>
          <w:divBdr>
            <w:top w:val="none" w:sz="0" w:space="0" w:color="auto"/>
            <w:left w:val="none" w:sz="0" w:space="0" w:color="auto"/>
            <w:bottom w:val="none" w:sz="0" w:space="0" w:color="auto"/>
            <w:right w:val="none" w:sz="0" w:space="0" w:color="auto"/>
          </w:divBdr>
          <w:divsChild>
            <w:div w:id="1216434344">
              <w:marLeft w:val="0"/>
              <w:marRight w:val="0"/>
              <w:marTop w:val="0"/>
              <w:marBottom w:val="0"/>
              <w:divBdr>
                <w:top w:val="none" w:sz="0" w:space="0" w:color="auto"/>
                <w:left w:val="none" w:sz="0" w:space="0" w:color="auto"/>
                <w:bottom w:val="none" w:sz="0" w:space="0" w:color="auto"/>
                <w:right w:val="none" w:sz="0" w:space="0" w:color="auto"/>
              </w:divBdr>
              <w:divsChild>
                <w:div w:id="152334769">
                  <w:marLeft w:val="0"/>
                  <w:marRight w:val="0"/>
                  <w:marTop w:val="0"/>
                  <w:marBottom w:val="0"/>
                  <w:divBdr>
                    <w:top w:val="none" w:sz="0" w:space="0" w:color="auto"/>
                    <w:left w:val="none" w:sz="0" w:space="0" w:color="auto"/>
                    <w:bottom w:val="none" w:sz="0" w:space="0" w:color="auto"/>
                    <w:right w:val="none" w:sz="0" w:space="0" w:color="auto"/>
                  </w:divBdr>
                  <w:divsChild>
                    <w:div w:id="2132164426">
                      <w:marLeft w:val="0"/>
                      <w:marRight w:val="0"/>
                      <w:marTop w:val="0"/>
                      <w:marBottom w:val="0"/>
                      <w:divBdr>
                        <w:top w:val="none" w:sz="0" w:space="0" w:color="auto"/>
                        <w:left w:val="none" w:sz="0" w:space="0" w:color="auto"/>
                        <w:bottom w:val="none" w:sz="0" w:space="0" w:color="auto"/>
                        <w:right w:val="none" w:sz="0" w:space="0" w:color="auto"/>
                      </w:divBdr>
                      <w:divsChild>
                        <w:div w:id="15338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96899">
      <w:bodyDiv w:val="1"/>
      <w:marLeft w:val="0"/>
      <w:marRight w:val="0"/>
      <w:marTop w:val="0"/>
      <w:marBottom w:val="0"/>
      <w:divBdr>
        <w:top w:val="none" w:sz="0" w:space="0" w:color="auto"/>
        <w:left w:val="none" w:sz="0" w:space="0" w:color="auto"/>
        <w:bottom w:val="none" w:sz="0" w:space="0" w:color="auto"/>
        <w:right w:val="none" w:sz="0" w:space="0" w:color="auto"/>
      </w:divBdr>
    </w:div>
    <w:div w:id="1352754458">
      <w:bodyDiv w:val="1"/>
      <w:marLeft w:val="0"/>
      <w:marRight w:val="0"/>
      <w:marTop w:val="0"/>
      <w:marBottom w:val="0"/>
      <w:divBdr>
        <w:top w:val="none" w:sz="0" w:space="0" w:color="auto"/>
        <w:left w:val="none" w:sz="0" w:space="0" w:color="auto"/>
        <w:bottom w:val="none" w:sz="0" w:space="0" w:color="auto"/>
        <w:right w:val="none" w:sz="0" w:space="0" w:color="auto"/>
      </w:divBdr>
    </w:div>
    <w:div w:id="1629163848">
      <w:bodyDiv w:val="1"/>
      <w:marLeft w:val="0"/>
      <w:marRight w:val="0"/>
      <w:marTop w:val="0"/>
      <w:marBottom w:val="0"/>
      <w:divBdr>
        <w:top w:val="none" w:sz="0" w:space="0" w:color="auto"/>
        <w:left w:val="none" w:sz="0" w:space="0" w:color="auto"/>
        <w:bottom w:val="none" w:sz="0" w:space="0" w:color="auto"/>
        <w:right w:val="none" w:sz="0" w:space="0" w:color="auto"/>
      </w:divBdr>
    </w:div>
    <w:div w:id="1935700265">
      <w:bodyDiv w:val="1"/>
      <w:marLeft w:val="0"/>
      <w:marRight w:val="0"/>
      <w:marTop w:val="0"/>
      <w:marBottom w:val="0"/>
      <w:divBdr>
        <w:top w:val="none" w:sz="0" w:space="0" w:color="auto"/>
        <w:left w:val="none" w:sz="0" w:space="0" w:color="auto"/>
        <w:bottom w:val="none" w:sz="0" w:space="0" w:color="auto"/>
        <w:right w:val="none" w:sz="0" w:space="0" w:color="auto"/>
      </w:divBdr>
    </w:div>
    <w:div w:id="1946955624">
      <w:bodyDiv w:val="1"/>
      <w:marLeft w:val="0"/>
      <w:marRight w:val="0"/>
      <w:marTop w:val="0"/>
      <w:marBottom w:val="0"/>
      <w:divBdr>
        <w:top w:val="none" w:sz="0" w:space="0" w:color="auto"/>
        <w:left w:val="none" w:sz="0" w:space="0" w:color="auto"/>
        <w:bottom w:val="none" w:sz="0" w:space="0" w:color="auto"/>
        <w:right w:val="none" w:sz="0" w:space="0" w:color="auto"/>
      </w:divBdr>
    </w:div>
    <w:div w:id="21024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gov/cleanenergy/energy-resources/calculator.html" TargetMode="External"/><Relationship Id="rId2" Type="http://schemas.openxmlformats.org/officeDocument/2006/relationships/hyperlink" Target="http://www.eia.doe.gov/cneaf/electricity/epm/table5_6_b.html" TargetMode="External"/><Relationship Id="rId1" Type="http://schemas.openxmlformats.org/officeDocument/2006/relationships/hyperlink" Target="http://data.bls.gov/cgi-bin/cpicalc.pl" TargetMode="External"/><Relationship Id="rId4" Type="http://schemas.openxmlformats.org/officeDocument/2006/relationships/hyperlink" Target="http://www.energystar.gov/index.cfm?c=power_mgt.pr_power_mgt_winVista_defau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DE50-A0F7-4483-BB72-2F235841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3404</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Windows Server 2008 Power Savings</vt:lpstr>
    </vt:vector>
  </TitlesOfParts>
  <Manager/>
  <Company>Microsoft Corporation</Company>
  <LinksUpToDate>false</LinksUpToDate>
  <CharactersWithSpaces>23289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Server 2008 Power Savings</dc:title>
  <dc:subject>Windows Server 2008 Power Savings</dc:subject>
  <dc:creator>Eric Rezabek</dc:creator>
  <cp:keywords>Windows Server 2008 Power Savings</cp:keywords>
  <cp:lastModifiedBy/>
  <cp:revision>2</cp:revision>
  <dcterms:created xsi:type="dcterms:W3CDTF">2008-06-04T15:28:00Z</dcterms:created>
  <dcterms:modified xsi:type="dcterms:W3CDTF">2008-06-10T18:51:00Z</dcterms:modified>
  <cp:category>Energy Efficiency; Green</cp:category>
  <dc:language>English</dc:language>
  <cp:version>2</cp:version>
</cp:coreProperties>
</file>