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60" w:type="dxa"/>
        <w:tblLayout w:type="fixed"/>
        <w:tblCellMar>
          <w:left w:w="0" w:type="dxa"/>
          <w:right w:w="0" w:type="dxa"/>
        </w:tblCellMar>
        <w:tblLook w:val="0000" w:firstRow="0" w:lastRow="0" w:firstColumn="0" w:lastColumn="0" w:noHBand="0" w:noVBand="0"/>
      </w:tblPr>
      <w:tblGrid>
        <w:gridCol w:w="860"/>
        <w:gridCol w:w="3393"/>
        <w:gridCol w:w="284"/>
        <w:gridCol w:w="6379"/>
      </w:tblGrid>
      <w:tr w:rsidR="00A95AEB">
        <w:trPr>
          <w:cantSplit/>
          <w:trHeight w:hRule="exact" w:val="851"/>
        </w:trPr>
        <w:tc>
          <w:tcPr>
            <w:tcW w:w="4253" w:type="dxa"/>
            <w:gridSpan w:val="2"/>
            <w:vMerge w:val="restart"/>
          </w:tcPr>
          <w:p w:rsidR="00A95AEB" w:rsidRDefault="00A95AEB" w:rsidP="00A95AEB">
            <w:bookmarkStart w:id="0" w:name="_GoBack"/>
            <w:bookmarkEnd w:id="0"/>
          </w:p>
        </w:tc>
        <w:tc>
          <w:tcPr>
            <w:tcW w:w="284" w:type="dxa"/>
            <w:vMerge w:val="restart"/>
          </w:tcPr>
          <w:p w:rsidR="00A95AEB" w:rsidRDefault="00A95AEB" w:rsidP="00A95AEB"/>
        </w:tc>
        <w:tc>
          <w:tcPr>
            <w:tcW w:w="6379" w:type="dxa"/>
          </w:tcPr>
          <w:p w:rsidR="00A95AEB" w:rsidRDefault="00A95AEB" w:rsidP="00A95AEB">
            <w:pPr>
              <w:pStyle w:val="StandFirstIntroduction"/>
            </w:pPr>
          </w:p>
        </w:tc>
      </w:tr>
      <w:tr w:rsidR="00A95AEB">
        <w:trPr>
          <w:cantSplit/>
          <w:trHeight w:val="922"/>
        </w:trPr>
        <w:tc>
          <w:tcPr>
            <w:tcW w:w="4253" w:type="dxa"/>
            <w:gridSpan w:val="2"/>
            <w:vMerge/>
          </w:tcPr>
          <w:p w:rsidR="00A95AEB" w:rsidRDefault="00A95AEB" w:rsidP="00A95AEB"/>
        </w:tc>
        <w:tc>
          <w:tcPr>
            <w:tcW w:w="284" w:type="dxa"/>
            <w:vMerge/>
          </w:tcPr>
          <w:p w:rsidR="00A95AEB" w:rsidRDefault="00A95AEB" w:rsidP="00A95AEB"/>
        </w:tc>
        <w:tc>
          <w:tcPr>
            <w:tcW w:w="6379" w:type="dxa"/>
            <w:vAlign w:val="bottom"/>
          </w:tcPr>
          <w:p w:rsidR="00E30157" w:rsidRDefault="00E30157" w:rsidP="00A95AEB">
            <w:pPr>
              <w:pStyle w:val="Casestudydescription"/>
            </w:pPr>
            <w:bookmarkStart w:id="1" w:name="ProductTitle"/>
            <w:r>
              <w:t>Microsoft Exchange Server 2007</w:t>
            </w:r>
          </w:p>
          <w:p w:rsidR="00A95AEB" w:rsidRDefault="00E30157" w:rsidP="00A95AEB">
            <w:pPr>
              <w:pStyle w:val="Casestudydescription"/>
            </w:pPr>
            <w:r>
              <w:t>Customer Solution Case Study</w:t>
            </w:r>
            <w:bookmarkEnd w:id="1"/>
          </w:p>
        </w:tc>
      </w:tr>
      <w:tr w:rsidR="00A95AEB">
        <w:trPr>
          <w:cantSplit/>
          <w:trHeight w:val="1134"/>
        </w:trPr>
        <w:tc>
          <w:tcPr>
            <w:tcW w:w="4253" w:type="dxa"/>
            <w:gridSpan w:val="2"/>
            <w:vMerge/>
          </w:tcPr>
          <w:p w:rsidR="00A95AEB" w:rsidRDefault="00A95AEB" w:rsidP="00A95AEB"/>
        </w:tc>
        <w:tc>
          <w:tcPr>
            <w:tcW w:w="284" w:type="dxa"/>
          </w:tcPr>
          <w:p w:rsidR="00A95AEB" w:rsidRDefault="00A95AEB" w:rsidP="00A95AEB"/>
        </w:tc>
        <w:tc>
          <w:tcPr>
            <w:tcW w:w="6379" w:type="dxa"/>
          </w:tcPr>
          <w:p w:rsidR="00A95AEB" w:rsidRDefault="00A95AEB" w:rsidP="00A95AEB">
            <w:pPr>
              <w:spacing w:after="80"/>
              <w:jc w:val="right"/>
              <w:rPr>
                <w:color w:val="FF9900"/>
              </w:rPr>
            </w:pPr>
          </w:p>
        </w:tc>
      </w:tr>
      <w:tr w:rsidR="00A95AEB">
        <w:trPr>
          <w:cantSplit/>
          <w:trHeight w:hRule="exact" w:val="938"/>
        </w:trPr>
        <w:tc>
          <w:tcPr>
            <w:tcW w:w="860" w:type="dxa"/>
            <w:vMerge w:val="restart"/>
          </w:tcPr>
          <w:p w:rsidR="00A95AEB" w:rsidRDefault="00A95AEB" w:rsidP="00A95AEB"/>
        </w:tc>
        <w:tc>
          <w:tcPr>
            <w:tcW w:w="3393" w:type="dxa"/>
            <w:vMerge w:val="restart"/>
          </w:tcPr>
          <w:p w:rsidR="00A95AEB" w:rsidRDefault="00A95AEB" w:rsidP="00A95AEB">
            <w:pPr>
              <w:rPr>
                <w:sz w:val="8"/>
              </w:rPr>
            </w:pPr>
          </w:p>
          <w:p w:rsidR="00A95AEB" w:rsidRDefault="00E30157" w:rsidP="00A95AEB">
            <w:bookmarkStart w:id="2" w:name="CustomerLogo"/>
            <w:r>
              <w:rPr>
                <w:noProof/>
                <w:lang w:val="en-US"/>
              </w:rPr>
              <w:drawing>
                <wp:inline distT="0" distB="0" distL="0" distR="0">
                  <wp:extent cx="1981200" cy="914400"/>
                  <wp:effectExtent l="0" t="0" r="0" b="0"/>
                  <wp:docPr id="7" name="Picture 7" descr="C:\Users\v-dorho.000\Desktop\Notes Compete\Bilim\bi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dorho.000\Desktop\Notes Compete\Bilim\bili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2"/>
          </w:p>
        </w:tc>
        <w:tc>
          <w:tcPr>
            <w:tcW w:w="284" w:type="dxa"/>
            <w:tcBorders>
              <w:left w:val="nil"/>
            </w:tcBorders>
          </w:tcPr>
          <w:p w:rsidR="00A95AEB" w:rsidRDefault="00A95AEB" w:rsidP="00A95AEB"/>
        </w:tc>
        <w:tc>
          <w:tcPr>
            <w:tcW w:w="6379" w:type="dxa"/>
          </w:tcPr>
          <w:p w:rsidR="00A95AEB" w:rsidRDefault="00E30157" w:rsidP="00A95AEB">
            <w:pPr>
              <w:pStyle w:val="DocumentTitle"/>
            </w:pPr>
            <w:bookmarkStart w:id="3" w:name="DocumentTitle"/>
            <w:r>
              <w:rPr>
                <w:noProof/>
              </w:rPr>
              <w:drawing>
                <wp:anchor distT="0" distB="0" distL="114300" distR="114300" simplePos="0" relativeHeight="251661824" behindDoc="1" locked="0" layoutInCell="0" allowOverlap="1">
                  <wp:simplePos x="0" y="0"/>
                  <wp:positionH relativeFrom="page">
                    <wp:posOffset>0</wp:posOffset>
                  </wp:positionH>
                  <wp:positionV relativeFrom="page">
                    <wp:posOffset>0</wp:posOffset>
                  </wp:positionV>
                  <wp:extent cx="7772400" cy="1532890"/>
                  <wp:effectExtent l="0" t="0" r="0" b="0"/>
                  <wp:wrapNone/>
                  <wp:docPr id="103" name="Picture 103" descr="Serv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erver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53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Turkish Pharmaceutical Manufacturer Improves Integration With Exchange Server</w:t>
            </w:r>
            <w:bookmarkEnd w:id="3"/>
          </w:p>
        </w:tc>
      </w:tr>
      <w:tr w:rsidR="00A95AEB">
        <w:trPr>
          <w:cantSplit/>
          <w:trHeight w:val="1008"/>
        </w:trPr>
        <w:tc>
          <w:tcPr>
            <w:tcW w:w="860" w:type="dxa"/>
            <w:vMerge/>
          </w:tcPr>
          <w:p w:rsidR="00A95AEB" w:rsidRDefault="00A95AEB" w:rsidP="00A95AEB"/>
        </w:tc>
        <w:tc>
          <w:tcPr>
            <w:tcW w:w="3393" w:type="dxa"/>
            <w:vMerge/>
            <w:tcBorders>
              <w:top w:val="single" w:sz="4" w:space="0" w:color="auto"/>
            </w:tcBorders>
          </w:tcPr>
          <w:p w:rsidR="00A95AEB" w:rsidRDefault="00A95AEB" w:rsidP="00A95AEB"/>
        </w:tc>
        <w:tc>
          <w:tcPr>
            <w:tcW w:w="284" w:type="dxa"/>
            <w:tcBorders>
              <w:left w:val="nil"/>
            </w:tcBorders>
          </w:tcPr>
          <w:p w:rsidR="00A95AEB" w:rsidRDefault="00A95AEB" w:rsidP="00A95AEB">
            <w:pPr>
              <w:rPr>
                <w:noProof/>
                <w:sz w:val="20"/>
                <w:lang w:val="en-US"/>
              </w:rPr>
            </w:pPr>
          </w:p>
        </w:tc>
        <w:tc>
          <w:tcPr>
            <w:tcW w:w="6379" w:type="dxa"/>
            <w:vAlign w:val="bottom"/>
          </w:tcPr>
          <w:p w:rsidR="00A95AEB" w:rsidRDefault="00A95AEB" w:rsidP="00A95AEB">
            <w:pPr>
              <w:pStyle w:val="StandFirstIntroduction"/>
              <w:spacing w:line="240" w:lineRule="auto"/>
              <w:rPr>
                <w:sz w:val="20"/>
              </w:rPr>
            </w:pPr>
          </w:p>
          <w:p w:rsidR="00A95AEB" w:rsidRDefault="00A95AEB" w:rsidP="00A95AEB">
            <w:pPr>
              <w:pStyle w:val="StandFirstIntroduction"/>
              <w:spacing w:line="240" w:lineRule="auto"/>
              <w:rPr>
                <w:sz w:val="20"/>
              </w:rPr>
            </w:pPr>
          </w:p>
          <w:p w:rsidR="00A95AEB" w:rsidRDefault="00A95AEB" w:rsidP="00A95AEB">
            <w:pPr>
              <w:pStyle w:val="StandFirstIntroduction"/>
            </w:pPr>
          </w:p>
        </w:tc>
      </w:tr>
    </w:tbl>
    <w:p w:rsidR="00A95AEB" w:rsidRDefault="00A95AEB" w:rsidP="00A95AEB">
      <w:pPr>
        <w:pStyle w:val="Header"/>
        <w:rPr>
          <w:sz w:val="14"/>
        </w:rPr>
      </w:pPr>
    </w:p>
    <w:tbl>
      <w:tblPr>
        <w:tblW w:w="10548" w:type="dxa"/>
        <w:tblLayout w:type="fixed"/>
        <w:tblCellMar>
          <w:left w:w="0" w:type="dxa"/>
          <w:right w:w="0" w:type="dxa"/>
        </w:tblCellMar>
        <w:tblLook w:val="0000" w:firstRow="0" w:lastRow="0" w:firstColumn="0" w:lastColumn="0" w:noHBand="0" w:noVBand="0"/>
      </w:tblPr>
      <w:tblGrid>
        <w:gridCol w:w="3119"/>
        <w:gridCol w:w="284"/>
        <w:gridCol w:w="284"/>
        <w:gridCol w:w="6861"/>
      </w:tblGrid>
      <w:tr w:rsidR="003119F1">
        <w:trPr>
          <w:cantSplit/>
          <w:trHeight w:hRule="exact" w:val="1970"/>
        </w:trPr>
        <w:tc>
          <w:tcPr>
            <w:tcW w:w="3119" w:type="dxa"/>
            <w:vMerge w:val="restart"/>
          </w:tcPr>
          <w:p w:rsidR="003119F1" w:rsidRDefault="003119F1" w:rsidP="0077065E">
            <w:pPr>
              <w:pStyle w:val="SectionHeading"/>
              <w:spacing w:before="120"/>
            </w:pPr>
            <w:bookmarkStart w:id="4" w:name="TableColumn" w:colFirst="1" w:colLast="1"/>
            <w:r>
              <w:t>Overview</w:t>
            </w:r>
          </w:p>
          <w:p w:rsidR="003119F1" w:rsidRDefault="003119F1">
            <w:pPr>
              <w:pStyle w:val="Bodycopy"/>
            </w:pPr>
            <w:r w:rsidRPr="000E56E4">
              <w:rPr>
                <w:b/>
                <w:szCs w:val="17"/>
              </w:rPr>
              <w:t>Country</w:t>
            </w:r>
            <w:r w:rsidR="006E5542" w:rsidRPr="000E56E4">
              <w:rPr>
                <w:b/>
                <w:szCs w:val="17"/>
              </w:rPr>
              <w:t xml:space="preserve"> or Region</w:t>
            </w:r>
            <w:r w:rsidRPr="000E56E4">
              <w:rPr>
                <w:b/>
                <w:szCs w:val="17"/>
              </w:rPr>
              <w:t>:</w:t>
            </w:r>
            <w:r>
              <w:t xml:space="preserve"> </w:t>
            </w:r>
            <w:bookmarkStart w:id="5" w:name="OverviewCountry"/>
            <w:r w:rsidR="00E30157">
              <w:t>Turkey</w:t>
            </w:r>
            <w:bookmarkEnd w:id="5"/>
          </w:p>
          <w:p w:rsidR="003119F1" w:rsidRDefault="003119F1">
            <w:pPr>
              <w:pStyle w:val="Bodycopy"/>
            </w:pPr>
            <w:r w:rsidRPr="000E56E4">
              <w:rPr>
                <w:b/>
                <w:szCs w:val="17"/>
              </w:rPr>
              <w:t>Industry:</w:t>
            </w:r>
            <w:r>
              <w:t xml:space="preserve"> </w:t>
            </w:r>
            <w:bookmarkStart w:id="6" w:name="OverviewIndustry"/>
            <w:r w:rsidR="0083331E">
              <w:t>Manufacturing-</w:t>
            </w:r>
            <w:r w:rsidR="00E30157">
              <w:t>Pharmaceutical</w:t>
            </w:r>
            <w:bookmarkEnd w:id="6"/>
          </w:p>
          <w:p w:rsidR="003119F1" w:rsidRDefault="003119F1">
            <w:pPr>
              <w:pStyle w:val="Bodycopy"/>
            </w:pPr>
          </w:p>
          <w:p w:rsidR="003119F1" w:rsidRDefault="003119F1">
            <w:pPr>
              <w:pStyle w:val="Bodycopyheading"/>
            </w:pPr>
            <w:r>
              <w:t>Customer Profile</w:t>
            </w:r>
          </w:p>
          <w:p w:rsidR="0002716A" w:rsidRDefault="005D42E5" w:rsidP="0002716A">
            <w:pPr>
              <w:pStyle w:val="Bodycopy"/>
            </w:pPr>
            <w:bookmarkStart w:id="7" w:name="OverviewCustomerProfile"/>
            <w:r>
              <w:rPr>
                <w:noProof/>
              </w:rPr>
              <w:pict>
                <v:rect id="_x0000_s1026" style="position:absolute;margin-left:-17.45pt;margin-top:99.2pt;width:10.9pt;height:407.9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" fillcolor="white [3212]" stroked="f" strokeweight="2pt">
                  <w10:wrap anchorx="page" anchory="page"/>
                </v:rect>
              </w:pict>
            </w:r>
            <w:r w:rsidR="0002716A">
              <w:t xml:space="preserve">Bilim Ilac, one of Turkey’s leading pharmaceutical companies with 1,800 employees, operates out of its Istanbul Head Office, </w:t>
            </w:r>
            <w:r w:rsidR="000C627C">
              <w:t xml:space="preserve">Cerkezkoy </w:t>
            </w:r>
            <w:r w:rsidR="0002716A">
              <w:t>and Gebze factories, and 1</w:t>
            </w:r>
            <w:bookmarkEnd w:id="7"/>
            <w:r w:rsidR="000C627C">
              <w:t>2</w:t>
            </w:r>
            <w:r w:rsidR="0002716A">
              <w:t xml:space="preserve"> regional offices.</w:t>
            </w:r>
          </w:p>
          <w:p w:rsidR="003119F1" w:rsidRDefault="003119F1">
            <w:pPr>
              <w:pStyle w:val="Bodycopy"/>
            </w:pPr>
          </w:p>
          <w:p w:rsidR="003119F1" w:rsidRDefault="003119F1">
            <w:pPr>
              <w:pStyle w:val="Bodycopyheading"/>
            </w:pPr>
            <w:r>
              <w:t>Business Situation</w:t>
            </w:r>
          </w:p>
          <w:p w:rsidR="0002716A" w:rsidRDefault="0002716A" w:rsidP="0002716A">
            <w:pPr>
              <w:pStyle w:val="Bodycopy"/>
            </w:pPr>
            <w:bookmarkStart w:id="8" w:name="OverviewBusinessSituation"/>
            <w:r>
              <w:t xml:space="preserve">The company experienced usability, management, and integration problems with its legacy messaging system. Bilim Ilac needed an enterprise-level system that would </w:t>
            </w:r>
            <w:bookmarkEnd w:id="8"/>
            <w:r>
              <w:t>fully integrate with the company’s existing Microsoft framework.</w:t>
            </w:r>
          </w:p>
          <w:p w:rsidR="003119F1" w:rsidRDefault="003119F1">
            <w:pPr>
              <w:pStyle w:val="Bodycopy"/>
            </w:pPr>
          </w:p>
          <w:p w:rsidR="003119F1" w:rsidRDefault="003119F1">
            <w:pPr>
              <w:pStyle w:val="Bodycopyheading"/>
            </w:pPr>
            <w:r>
              <w:t>Solution</w:t>
            </w:r>
          </w:p>
          <w:p w:rsidR="0002716A" w:rsidRDefault="0002716A" w:rsidP="0002716A">
            <w:pPr>
              <w:pStyle w:val="Bodycopy"/>
            </w:pPr>
            <w:bookmarkStart w:id="9" w:name="OverviewSolution"/>
            <w:r>
              <w:t>The company chose Microsoft® Exchange Server 2007 for its Active Directory integration and accessibility advantages of Outlook Web Access (</w:t>
            </w:r>
            <w:bookmarkEnd w:id="9"/>
            <w:r>
              <w:t>OWA), Outlook Mobile Access (OMA), and Outlook Anywhere.</w:t>
            </w:r>
          </w:p>
          <w:p w:rsidR="003119F1" w:rsidRDefault="003119F1">
            <w:pPr>
              <w:pStyle w:val="Bodycopy"/>
            </w:pPr>
          </w:p>
          <w:p w:rsidR="003119F1" w:rsidRDefault="003119F1">
            <w:pPr>
              <w:pStyle w:val="Bodycopyheading"/>
            </w:pPr>
            <w:r>
              <w:t>Benefits</w:t>
            </w:r>
          </w:p>
          <w:p w:rsidR="00E30157" w:rsidRDefault="007F6FDE" w:rsidP="00FE1772">
            <w:pPr>
              <w:pStyle w:val="Bullet"/>
            </w:pPr>
            <w:bookmarkStart w:id="10" w:name="OverviewBenefits"/>
            <w:r>
              <w:t>Central Management</w:t>
            </w:r>
          </w:p>
          <w:p w:rsidR="00E30157" w:rsidRDefault="007F6FDE" w:rsidP="00FE1772">
            <w:pPr>
              <w:pStyle w:val="Bullet"/>
            </w:pPr>
            <w:r>
              <w:t>Improved Integration</w:t>
            </w:r>
          </w:p>
          <w:p w:rsidR="007F6FDE" w:rsidRDefault="007F6FDE" w:rsidP="00FE1772">
            <w:pPr>
              <w:pStyle w:val="Bullet"/>
            </w:pPr>
            <w:r>
              <w:t>Cost Savings</w:t>
            </w:r>
          </w:p>
          <w:bookmarkEnd w:id="10"/>
          <w:p w:rsidR="007F6FDE" w:rsidRDefault="007F6FDE" w:rsidP="007F6FDE">
            <w:pPr>
              <w:pStyle w:val="Bullet"/>
            </w:pPr>
            <w:r>
              <w:t>Improved User Satisfaction, Efficiency</w:t>
            </w:r>
          </w:p>
          <w:p w:rsidR="009E67DC" w:rsidRDefault="009E67DC" w:rsidP="007F6FDE">
            <w:pPr>
              <w:pStyle w:val="Bullet"/>
            </w:pPr>
            <w:r>
              <w:t>Time Savings for IT team</w:t>
            </w:r>
          </w:p>
          <w:p w:rsidR="003119F1" w:rsidRDefault="003119F1">
            <w:pPr>
              <w:pStyle w:val="Bodycopy"/>
            </w:pPr>
          </w:p>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E30157">
            <w:pPr>
              <w:pStyle w:val="Pullquote"/>
            </w:pPr>
            <w:bookmarkStart w:id="11" w:name="DocumentIntroduction"/>
            <w:r>
              <w:t>"Our field teams were not included in our legacy messaging system because it was a difficult and time-consuming task to integrate that messaging system into Active Directory."</w:t>
            </w:r>
            <w:bookmarkEnd w:id="11"/>
          </w:p>
          <w:p w:rsidR="003119F1" w:rsidRDefault="00E30157">
            <w:pPr>
              <w:pStyle w:val="PullQuotecredit"/>
            </w:pPr>
            <w:bookmarkStart w:id="12" w:name="DocumentIntroductionCredit"/>
            <w:r>
              <w:t xml:space="preserve">Umut Tur, </w:t>
            </w:r>
            <w:r w:rsidR="00AB00C8">
              <w:t xml:space="preserve">IT </w:t>
            </w:r>
            <w:r>
              <w:t xml:space="preserve">System </w:t>
            </w:r>
            <w:r w:rsidR="00AB00C8">
              <w:t>Supervisor</w:t>
            </w:r>
            <w:r>
              <w:t>, Bilim Ilac</w:t>
            </w:r>
            <w:bookmarkEnd w:id="12"/>
            <w:r w:rsidR="00426248">
              <w:t xml:space="preserve"> Inc.</w:t>
            </w:r>
          </w:p>
          <w:p w:rsidR="003119F1" w:rsidRDefault="003119F1">
            <w:pPr>
              <w:spacing w:after="80"/>
              <w:jc w:val="right"/>
              <w:rPr>
                <w:color w:val="FF9900"/>
              </w:rPr>
            </w:pPr>
          </w:p>
        </w:tc>
      </w:tr>
      <w:bookmarkEnd w:id="4"/>
      <w:tr w:rsidR="0002716A" w:rsidTr="0034716D">
        <w:trPr>
          <w:cantSplit/>
          <w:trHeight w:hRule="exact" w:val="6167"/>
        </w:trPr>
        <w:tc>
          <w:tcPr>
            <w:tcW w:w="3119" w:type="dxa"/>
            <w:vMerge/>
          </w:tcPr>
          <w:p w:rsidR="0002716A" w:rsidRDefault="0002716A">
            <w:pPr>
              <w:pStyle w:val="Bodycopy"/>
            </w:pPr>
          </w:p>
        </w:tc>
        <w:tc>
          <w:tcPr>
            <w:tcW w:w="284" w:type="dxa"/>
            <w:tcBorders>
              <w:left w:val="nil"/>
              <w:right w:val="single" w:sz="8" w:space="0" w:color="A0A0A0"/>
            </w:tcBorders>
          </w:tcPr>
          <w:p w:rsidR="0002716A" w:rsidRDefault="0002716A">
            <w:pPr>
              <w:pStyle w:val="Bodycopy"/>
            </w:pPr>
          </w:p>
        </w:tc>
        <w:tc>
          <w:tcPr>
            <w:tcW w:w="284" w:type="dxa"/>
            <w:tcBorders>
              <w:left w:val="single" w:sz="8" w:space="0" w:color="A0A0A0"/>
            </w:tcBorders>
          </w:tcPr>
          <w:p w:rsidR="0002716A" w:rsidRDefault="0002716A">
            <w:pPr>
              <w:pStyle w:val="Bodycopy"/>
            </w:pPr>
          </w:p>
        </w:tc>
        <w:tc>
          <w:tcPr>
            <w:tcW w:w="6861" w:type="dxa"/>
          </w:tcPr>
          <w:p w:rsidR="0002716A" w:rsidRDefault="005D42E5" w:rsidP="009E67DC">
            <w:pPr>
              <w:pStyle w:val="StandFirstIntroduction"/>
            </w:pPr>
            <w:bookmarkStart w:id="13" w:name="DocumentFirstPageBody"/>
            <w:r>
              <w:rPr>
                <w:noProof/>
                <w:color w:val="auto"/>
                <w:sz w:val="17"/>
                <w:lang w:val="en-US"/>
              </w:rPr>
              <w:pict>
                <v:rect id="_x0000_s1031" style="position:absolute;margin-left:46.15pt;margin-top:307.05pt;width:296.85pt;height:23.9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" fillcolor="white [3212]" stroked="f" strokeweight="2pt">
                  <w10:wrap anchorx="page" anchory="page"/>
                </v:rect>
              </w:pict>
            </w:r>
            <w:r w:rsidR="0002716A">
              <w:t>Bilim Ilac</w:t>
            </w:r>
            <w:r w:rsidR="00AA29C5">
              <w:t xml:space="preserve"> Inc.</w:t>
            </w:r>
            <w:r w:rsidR="0002716A">
              <w:t xml:space="preserve">, </w:t>
            </w:r>
            <w:r w:rsidR="009E67DC">
              <w:t>a</w:t>
            </w:r>
            <w:r w:rsidR="0002716A">
              <w:t xml:space="preserve"> leading pharmaceutical compan</w:t>
            </w:r>
            <w:r w:rsidR="009E67DC">
              <w:t>y</w:t>
            </w:r>
            <w:r w:rsidR="0002716A">
              <w:t xml:space="preserve"> in Turkey, was experiencing usability, management, and integration problems with its legacy messaging system. The company decided to implement Microsoft® Exchange Server 2007 to integrate field service representatives into the messaging system, improve messaging management, and establish a company-wide enterprise-level standard for messaging. An affiliate of the Bilfar Group, Bilim Ilac benefited from Active Directory and Exchange Server integration that improved account management for 2,100 users, including Bilim Ilac’s 1,800 users, and 300 users at Kopas Kozmetik Inc., another company in the group. In addition, Exchange Server 2007 features such as OWA, OMA, and Outlook Anywhere enabled users to access their messages from anywhere, with any device. </w:t>
            </w:r>
            <w:bookmarkEnd w:id="13"/>
          </w:p>
        </w:tc>
      </w:tr>
      <w:tr w:rsidR="0002716A">
        <w:trPr>
          <w:cantSplit/>
          <w:trHeight w:hRule="exact" w:val="180"/>
        </w:trPr>
        <w:tc>
          <w:tcPr>
            <w:tcW w:w="3119" w:type="dxa"/>
          </w:tcPr>
          <w:p w:rsidR="0002716A" w:rsidRDefault="0002716A"/>
        </w:tc>
        <w:tc>
          <w:tcPr>
            <w:tcW w:w="284" w:type="dxa"/>
            <w:tcBorders>
              <w:left w:val="nil"/>
              <w:right w:val="single" w:sz="8" w:space="0" w:color="A0A0A0"/>
            </w:tcBorders>
          </w:tcPr>
          <w:p w:rsidR="0002716A" w:rsidRDefault="0002716A"/>
        </w:tc>
        <w:tc>
          <w:tcPr>
            <w:tcW w:w="284" w:type="dxa"/>
            <w:tcBorders>
              <w:left w:val="single" w:sz="8" w:space="0" w:color="A0A0A0"/>
            </w:tcBorders>
          </w:tcPr>
          <w:p w:rsidR="0002716A" w:rsidRDefault="0002716A"/>
        </w:tc>
        <w:tc>
          <w:tcPr>
            <w:tcW w:w="6861" w:type="dxa"/>
          </w:tcPr>
          <w:p w:rsidR="0002716A" w:rsidRDefault="0002716A">
            <w:pPr>
              <w:spacing w:after="80"/>
              <w:jc w:val="right"/>
              <w:rPr>
                <w:color w:val="FF9900"/>
              </w:rPr>
            </w:pPr>
          </w:p>
        </w:tc>
      </w:tr>
      <w:tr w:rsidR="0002716A">
        <w:trPr>
          <w:cantSplit/>
          <w:trHeight w:val="1740"/>
        </w:trPr>
        <w:tc>
          <w:tcPr>
            <w:tcW w:w="3119" w:type="dxa"/>
            <w:vMerge w:val="restart"/>
            <w:vAlign w:val="bottom"/>
          </w:tcPr>
          <w:p w:rsidR="0002716A" w:rsidRDefault="0002716A">
            <w:bookmarkStart w:id="14" w:name="PartnerLogo"/>
            <w:r>
              <w:rPr>
                <w:noProof/>
                <w:lang w:val="en-US"/>
              </w:rPr>
              <w:drawing>
                <wp:inline distT="0" distB="0" distL="0" distR="0">
                  <wp:extent cx="1066800" cy="400050"/>
                  <wp:effectExtent l="0" t="0" r="0" b="0"/>
                  <wp:docPr id="12" name="Picture 12" descr="C:\Users\v-dorho.000\Desktop\Notes Compete\Bilim\telcose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dorho.000\Desktop\Notes Compete\Bilim\telcoset_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14"/>
          </w:p>
        </w:tc>
        <w:tc>
          <w:tcPr>
            <w:tcW w:w="284" w:type="dxa"/>
            <w:tcBorders>
              <w:left w:val="nil"/>
              <w:right w:val="single" w:sz="8" w:space="0" w:color="A0A0A0"/>
            </w:tcBorders>
          </w:tcPr>
          <w:p w:rsidR="0002716A" w:rsidRDefault="0002716A"/>
        </w:tc>
        <w:tc>
          <w:tcPr>
            <w:tcW w:w="284" w:type="dxa"/>
            <w:vMerge w:val="restart"/>
            <w:tcBorders>
              <w:left w:val="single" w:sz="8" w:space="0" w:color="A0A0A0"/>
            </w:tcBorders>
          </w:tcPr>
          <w:p w:rsidR="0002716A" w:rsidRDefault="0002716A"/>
        </w:tc>
        <w:tc>
          <w:tcPr>
            <w:tcW w:w="6861" w:type="dxa"/>
            <w:vMerge w:val="restart"/>
            <w:vAlign w:val="bottom"/>
          </w:tcPr>
          <w:p w:rsidR="0002716A" w:rsidRDefault="005D42E5">
            <w:pPr>
              <w:jc w:val="right"/>
              <w:rPr>
                <w:color w:val="FF9900"/>
              </w:rPr>
            </w:pPr>
            <w:bookmarkStart w:id="15" w:name="ProductLogo"/>
            <w:r>
              <w:rPr>
                <w:noProof/>
                <w:lang w:val="en-US"/>
              </w:rPr>
              <w:pict>
                <v:rect id="Rectangle 1" o:spid="_x0000_s1030" style="position:absolute;left:0;text-align:left;margin-left:55pt;margin-top:13pt;width:3.6pt;height:81.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" fillcolor="white [3212]" stroked="f" strokeweight="2pt">
                  <w10:wrap anchorx="page" anchory="page"/>
                </v:rect>
              </w:pict>
            </w:r>
            <w:r w:rsidR="0002716A">
              <w:rPr>
                <w:noProof/>
                <w:color w:val="FF9900"/>
                <w:lang w:val="en-US"/>
              </w:rPr>
              <w:drawing>
                <wp:inline distT="0" distB="0" distL="0" distR="0">
                  <wp:extent cx="3657600" cy="1038225"/>
                  <wp:effectExtent l="0" t="0" r="0" b="0"/>
                  <wp:docPr id="13" name="Picture 13" descr="C:\Users\v-dorho.000\AppData\Roaming\Microsoft\Templates\CEP_Files\CEPFiles_logo_Ex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dorho.000\AppData\Roaming\Microsoft\Templates\CEP_Files\CEPFiles_logo_Exchan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15"/>
          </w:p>
        </w:tc>
      </w:tr>
      <w:tr w:rsidR="0002716A">
        <w:trPr>
          <w:cantSplit/>
          <w:trHeight w:val="80"/>
        </w:trPr>
        <w:tc>
          <w:tcPr>
            <w:tcW w:w="3119" w:type="dxa"/>
            <w:vMerge/>
            <w:vAlign w:val="bottom"/>
          </w:tcPr>
          <w:p w:rsidR="0002716A" w:rsidRDefault="0002716A"/>
        </w:tc>
        <w:tc>
          <w:tcPr>
            <w:tcW w:w="284" w:type="dxa"/>
            <w:tcBorders>
              <w:left w:val="nil"/>
              <w:right w:val="single" w:sz="8" w:space="0" w:color="A0A0A0"/>
            </w:tcBorders>
          </w:tcPr>
          <w:p w:rsidR="0002716A" w:rsidRDefault="0002716A">
            <w:pPr>
              <w:rPr>
                <w:sz w:val="12"/>
              </w:rPr>
            </w:pPr>
          </w:p>
        </w:tc>
        <w:tc>
          <w:tcPr>
            <w:tcW w:w="284" w:type="dxa"/>
            <w:vMerge/>
            <w:tcBorders>
              <w:left w:val="single" w:sz="8" w:space="0" w:color="A0A0A0"/>
            </w:tcBorders>
          </w:tcPr>
          <w:p w:rsidR="0002716A" w:rsidRDefault="0002716A"/>
        </w:tc>
        <w:tc>
          <w:tcPr>
            <w:tcW w:w="6861" w:type="dxa"/>
            <w:vMerge/>
            <w:vAlign w:val="bottom"/>
          </w:tcPr>
          <w:p w:rsidR="0002716A" w:rsidRDefault="0002716A">
            <w:pPr>
              <w:jc w:val="right"/>
              <w:rPr>
                <w:color w:val="FF9900"/>
              </w:rPr>
            </w:pPr>
          </w:p>
        </w:tc>
      </w:tr>
    </w:tbl>
    <w:p w:rsidR="003119F1" w:rsidRDefault="003119F1">
      <w:pPr>
        <w:rPr>
          <w:sz w:val="2"/>
        </w:rPr>
      </w:pPr>
    </w:p>
    <w:p w:rsidR="003119F1" w:rsidRDefault="003119F1">
      <w:pPr>
        <w:rPr>
          <w:sz w:val="2"/>
        </w:rPr>
        <w:sectPr w:rsidR="003119F1" w:rsidSect="00A95AEB">
          <w:pgSz w:w="12242" w:h="15842" w:code="1"/>
          <w:pgMar w:top="0" w:right="851" w:bottom="199" w:left="851" w:header="0" w:footer="301" w:gutter="0"/>
          <w:cols w:space="227"/>
          <w:docGrid w:linePitch="360"/>
        </w:sectPr>
      </w:pPr>
    </w:p>
    <w:tbl>
      <w:tblPr>
        <w:tblpPr w:leftFromText="180" w:rightFromText="180" w:vertAnchor="text" w:horzAnchor="page" w:tblpX="9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3"/>
      </w:tblGrid>
      <w:tr w:rsidR="00F640F6" w:rsidRPr="00F640F6" w:rsidTr="006500F7">
        <w:tc>
          <w:tcPr>
            <w:tcW w:w="3133" w:type="dxa"/>
            <w:tcBorders>
              <w:top w:val="nil"/>
              <w:left w:val="nil"/>
              <w:bottom w:val="nil"/>
              <w:right w:val="nil"/>
            </w:tcBorders>
          </w:tcPr>
          <w:p w:rsidR="00F640F6" w:rsidRPr="00F640F6" w:rsidRDefault="00F640F6" w:rsidP="00F640F6">
            <w:pPr>
              <w:spacing w:line="400" w:lineRule="exact"/>
              <w:rPr>
                <w:color w:val="A0A0A0"/>
                <w:sz w:val="28"/>
                <w:lang w:val="en-US"/>
              </w:rPr>
            </w:pPr>
            <w:r w:rsidRPr="00F640F6">
              <w:rPr>
                <w:color w:val="A0A0A0"/>
                <w:sz w:val="28"/>
                <w:lang w:val="en-US"/>
              </w:rPr>
              <w:lastRenderedPageBreak/>
              <w:t xml:space="preserve">“[Sales teams] didn’t have email addresses defined under </w:t>
            </w:r>
            <w:r w:rsidR="00EC056E">
              <w:rPr>
                <w:color w:val="A0A0A0"/>
                <w:sz w:val="28"/>
                <w:lang w:val="en-US"/>
              </w:rPr>
              <w:t>the company’s web</w:t>
            </w:r>
            <w:r w:rsidRPr="00F640F6">
              <w:rPr>
                <w:color w:val="A0A0A0"/>
                <w:sz w:val="28"/>
                <w:lang w:val="en-US"/>
              </w:rPr>
              <w:t xml:space="preserve"> domain, so they were simply using generic Web-based email services, or they could only communicate when they visited regional offices.”</w:t>
            </w:r>
          </w:p>
          <w:p w:rsidR="00F640F6" w:rsidRPr="00F640F6" w:rsidRDefault="00F640F6" w:rsidP="00F640F6">
            <w:pPr>
              <w:spacing w:line="240" w:lineRule="exact"/>
              <w:jc w:val="right"/>
              <w:rPr>
                <w:color w:val="A0A0A0"/>
                <w:lang w:val="en-US"/>
              </w:rPr>
            </w:pPr>
            <w:r w:rsidRPr="00F640F6">
              <w:rPr>
                <w:color w:val="A0A0A0"/>
                <w:lang w:val="en-US"/>
              </w:rPr>
              <w:t xml:space="preserve">Jale Yigin, IT Manager, </w:t>
            </w:r>
          </w:p>
          <w:p w:rsidR="00F640F6" w:rsidRPr="00F640F6" w:rsidRDefault="00F640F6" w:rsidP="00F640F6">
            <w:pPr>
              <w:spacing w:line="240" w:lineRule="exact"/>
              <w:jc w:val="right"/>
              <w:rPr>
                <w:color w:val="A0A0A0"/>
                <w:lang w:val="en-US"/>
              </w:rPr>
            </w:pPr>
            <w:r w:rsidRPr="00F640F6">
              <w:rPr>
                <w:color w:val="A0A0A0"/>
                <w:lang w:val="en-US"/>
              </w:rPr>
              <w:t>Bilim Ilac Inc.</w:t>
            </w:r>
          </w:p>
          <w:p w:rsidR="00F640F6" w:rsidRPr="00F640F6" w:rsidRDefault="00F640F6" w:rsidP="00F640F6">
            <w:pPr>
              <w:spacing w:before="120" w:line="200" w:lineRule="exact"/>
              <w:jc w:val="right"/>
              <w:rPr>
                <w:color w:val="A0A0A0"/>
                <w:lang w:val="en-US"/>
              </w:rPr>
            </w:pPr>
          </w:p>
        </w:tc>
      </w:tr>
    </w:tbl>
    <w:p w:rsidR="003119F1" w:rsidRDefault="003119F1">
      <w:pPr>
        <w:pStyle w:val="SectionHeading"/>
      </w:pPr>
      <w:r>
        <w:lastRenderedPageBreak/>
        <w:t>Situation</w:t>
      </w:r>
    </w:p>
    <w:p w:rsidR="00E30157" w:rsidRPr="00D14A43" w:rsidRDefault="00E30157">
      <w:pPr>
        <w:pStyle w:val="Bodycopy"/>
        <w:rPr>
          <w:b/>
        </w:rPr>
      </w:pPr>
      <w:bookmarkStart w:id="16" w:name="DocumentSituation"/>
      <w:r w:rsidRPr="00D14A43">
        <w:rPr>
          <w:b/>
        </w:rPr>
        <w:t>Integration Woes</w:t>
      </w:r>
    </w:p>
    <w:p w:rsidR="00E30157" w:rsidRDefault="00E30157">
      <w:pPr>
        <w:pStyle w:val="Bodycopy"/>
      </w:pPr>
      <w:r>
        <w:t>Founded in 1953 as a pharmaceutical laboratory, Bilim Ilac Inc. is Turkey’s third largest pharmaceutical company in box sales, and fourth in turnover, exporting to 42 countries around the world.</w:t>
      </w:r>
    </w:p>
    <w:p w:rsidR="00E30157" w:rsidRDefault="00E30157">
      <w:pPr>
        <w:pStyle w:val="Bodycopy"/>
      </w:pPr>
      <w:r>
        <w:t xml:space="preserve"> </w:t>
      </w:r>
    </w:p>
    <w:p w:rsidR="00E30157" w:rsidRDefault="00E30157">
      <w:pPr>
        <w:pStyle w:val="Bodycopy"/>
      </w:pPr>
      <w:r>
        <w:t xml:space="preserve">Bilim Ilac used a </w:t>
      </w:r>
      <w:r w:rsidR="006566C6">
        <w:t xml:space="preserve">Wide Area Network </w:t>
      </w:r>
      <w:r>
        <w:t>for communication between its Head Office, production facil</w:t>
      </w:r>
      <w:r w:rsidR="00AB44D2">
        <w:t>ities, and regional directorate</w:t>
      </w:r>
      <w:r w:rsidR="00525B6F">
        <w:t>s</w:t>
      </w:r>
      <w:r w:rsidR="00D078D6">
        <w:t xml:space="preserve">, </w:t>
      </w:r>
      <w:r w:rsidR="00AB44D2">
        <w:t xml:space="preserve">and </w:t>
      </w:r>
      <w:r>
        <w:t>managed its IT infrastructure with Microsoft Windows servers and Active Directory.</w:t>
      </w:r>
    </w:p>
    <w:p w:rsidR="00E30157" w:rsidRDefault="00E30157">
      <w:pPr>
        <w:pStyle w:val="Bodycopy"/>
      </w:pPr>
    </w:p>
    <w:p w:rsidR="00E30157" w:rsidRDefault="00E30157">
      <w:pPr>
        <w:pStyle w:val="Bodycopy"/>
      </w:pPr>
      <w:r>
        <w:t xml:space="preserve">Until 2006, Bilim Ilac’s field teams </w:t>
      </w:r>
      <w:r w:rsidR="00AB44D2">
        <w:t>used</w:t>
      </w:r>
      <w:r>
        <w:t xml:space="preserve"> PDAs and a mobile Customer Relationship Management (CRM) sol</w:t>
      </w:r>
      <w:r w:rsidR="00AB44D2">
        <w:t>ution</w:t>
      </w:r>
      <w:r>
        <w:t>.</w:t>
      </w:r>
      <w:r w:rsidR="00AB44D2">
        <w:t xml:space="preserve"> </w:t>
      </w:r>
      <w:r>
        <w:t>In 2006, the com</w:t>
      </w:r>
      <w:r w:rsidR="00AB44D2">
        <w:t>pany replaced PDAs with laptops, b</w:t>
      </w:r>
      <w:r>
        <w:t xml:space="preserve">ut </w:t>
      </w:r>
      <w:r w:rsidR="00AB44D2">
        <w:t>field reps</w:t>
      </w:r>
      <w:r>
        <w:t xml:space="preserve"> still did not have access to a</w:t>
      </w:r>
      <w:r w:rsidR="00AB44D2">
        <w:t>n enterprise-level email system</w:t>
      </w:r>
      <w:r>
        <w:t xml:space="preserve">. </w:t>
      </w:r>
    </w:p>
    <w:p w:rsidR="00AB44D2" w:rsidRDefault="00AB44D2">
      <w:pPr>
        <w:pStyle w:val="Bodycopy"/>
      </w:pPr>
    </w:p>
    <w:p w:rsidR="00E30157" w:rsidRDefault="00E30157">
      <w:pPr>
        <w:pStyle w:val="Bodycopy"/>
      </w:pPr>
      <w:r>
        <w:t>“</w:t>
      </w:r>
      <w:r w:rsidR="000C2BD0">
        <w:t>M</w:t>
      </w:r>
      <w:r>
        <w:t>edical promotion teams and sales representatives working in the field were not integrated into our messaging system,</w:t>
      </w:r>
      <w:r w:rsidR="000C2BD0">
        <w:t xml:space="preserve"> although they generated most of the company’s email traffic,</w:t>
      </w:r>
      <w:r>
        <w:t xml:space="preserve">” said Jale Yigin, IT Manager at Bilim Ilac Inc. “They didn’t have email addresses defined under </w:t>
      </w:r>
      <w:r w:rsidR="000C2BD0">
        <w:t>the company</w:t>
      </w:r>
      <w:r w:rsidR="00EC056E">
        <w:t>’s web</w:t>
      </w:r>
      <w:r w:rsidR="000C2BD0">
        <w:t xml:space="preserve"> </w:t>
      </w:r>
      <w:r>
        <w:t>domain, so they were simply using generic Web-based email services, or they could only communicate when they visited regional offices.”</w:t>
      </w:r>
    </w:p>
    <w:p w:rsidR="00AB44D2" w:rsidRDefault="00AB44D2">
      <w:pPr>
        <w:pStyle w:val="Bodycopy"/>
      </w:pPr>
    </w:p>
    <w:p w:rsidR="00E30157" w:rsidRDefault="00E30157">
      <w:pPr>
        <w:pStyle w:val="Bodycopy"/>
      </w:pPr>
      <w:r>
        <w:t xml:space="preserve">Although the vendor of the legacy messaging system offered a cross-platform tool, Umut Tur, Bilim Ilac’s </w:t>
      </w:r>
      <w:r w:rsidR="004D4387">
        <w:t>IT System Supervisor</w:t>
      </w:r>
      <w:r>
        <w:t xml:space="preserve">, said: “Our field teams were not included in our legacy messaging system because it was a difficult and time-consuming task to integrate that messaging system into Active Directory. </w:t>
      </w:r>
    </w:p>
    <w:p w:rsidR="00E30157" w:rsidRDefault="00E30157">
      <w:pPr>
        <w:pStyle w:val="Bodycopy"/>
      </w:pPr>
    </w:p>
    <w:p w:rsidR="00E30157" w:rsidRDefault="00E30157">
      <w:pPr>
        <w:pStyle w:val="Bodycopy"/>
      </w:pPr>
      <w:r>
        <w:lastRenderedPageBreak/>
        <w:t>“Besides, message synchronization was problematic. We needed an enterprise-level messaging system that runs fully integrated with Active Directory to include field teams into the system.”</w:t>
      </w:r>
    </w:p>
    <w:p w:rsidR="00E30157" w:rsidRDefault="00E30157">
      <w:pPr>
        <w:pStyle w:val="Bodycopy"/>
      </w:pPr>
    </w:p>
    <w:p w:rsidR="00E30157" w:rsidRPr="00AB44D2" w:rsidRDefault="00E30157">
      <w:pPr>
        <w:pStyle w:val="Bodycopy"/>
        <w:rPr>
          <w:b/>
        </w:rPr>
      </w:pPr>
      <w:r w:rsidRPr="00AB44D2">
        <w:rPr>
          <w:b/>
        </w:rPr>
        <w:t>Lack Of Central Management</w:t>
      </w:r>
    </w:p>
    <w:p w:rsidR="00E30157" w:rsidRDefault="00E30157">
      <w:pPr>
        <w:pStyle w:val="Bodycopy"/>
      </w:pPr>
      <w:r>
        <w:t>In 2006, when the company implemented an enterprise portal, it required new user account definitions and user account cancellations for different applications</w:t>
      </w:r>
      <w:r w:rsidR="00980C42">
        <w:t xml:space="preserve"> – a cumbersome undertaking</w:t>
      </w:r>
      <w:r>
        <w:t>.</w:t>
      </w:r>
    </w:p>
    <w:p w:rsidR="00E30157" w:rsidRDefault="00E30157">
      <w:pPr>
        <w:pStyle w:val="Bodycopy"/>
      </w:pPr>
    </w:p>
    <w:p w:rsidR="003119F1" w:rsidRDefault="00E30157">
      <w:pPr>
        <w:pStyle w:val="Bodycopy"/>
      </w:pPr>
      <w:r>
        <w:t>Bilim Ilac</w:t>
      </w:r>
      <w:r w:rsidR="00ED6BB9">
        <w:t xml:space="preserve"> clearly</w:t>
      </w:r>
      <w:r>
        <w:t xml:space="preserve"> </w:t>
      </w:r>
      <w:r w:rsidR="00980C42">
        <w:t>needed central management of its</w:t>
      </w:r>
      <w:r>
        <w:t xml:space="preserve"> user accounts to better mana</w:t>
      </w:r>
      <w:r w:rsidR="00ED6BB9">
        <w:t>ge and</w:t>
      </w:r>
      <w:r w:rsidR="00980C42">
        <w:t xml:space="preserve"> improve user</w:t>
      </w:r>
      <w:r>
        <w:t xml:space="preserve"> access to applications and messaging.</w:t>
      </w:r>
      <w:bookmarkEnd w:id="16"/>
    </w:p>
    <w:p w:rsidR="003119F1" w:rsidRDefault="003119F1">
      <w:pPr>
        <w:pStyle w:val="Bodycopy"/>
      </w:pPr>
    </w:p>
    <w:p w:rsidR="003119F1" w:rsidRDefault="003119F1">
      <w:pPr>
        <w:pStyle w:val="SectionHeading"/>
      </w:pPr>
      <w:r>
        <w:t>Solution</w:t>
      </w:r>
    </w:p>
    <w:p w:rsidR="00E30157" w:rsidRDefault="00E30157">
      <w:pPr>
        <w:pStyle w:val="Bodycopy"/>
      </w:pPr>
      <w:bookmarkStart w:id="17" w:name="DocumentSolution"/>
      <w:r>
        <w:t>Bilim Ilac was already familiar with the advantages of Microsoft’s communication technologies, as it partially used Microsoft Exchange Server and Microsoft Outlook in its offices. It wanted to offer all its users the familiar interface of Outlook.</w:t>
      </w:r>
    </w:p>
    <w:p w:rsidR="00C70E2E" w:rsidRDefault="00C70E2E">
      <w:pPr>
        <w:pStyle w:val="Bodycopy"/>
      </w:pPr>
    </w:p>
    <w:p w:rsidR="00E30157" w:rsidRDefault="00C70E2E">
      <w:pPr>
        <w:pStyle w:val="Bodycopy"/>
      </w:pPr>
      <w:r>
        <w:t>Bilim Ilac turned</w:t>
      </w:r>
      <w:r w:rsidR="00E30157">
        <w:t xml:space="preserve"> to Microsoft Gold Certified Partner Telcoset Ileri Teknolojileri Inc. to implement the proje</w:t>
      </w:r>
      <w:r>
        <w:t>ct</w:t>
      </w:r>
      <w:r w:rsidR="00E30157">
        <w:t>.</w:t>
      </w:r>
    </w:p>
    <w:p w:rsidR="00C70E2E" w:rsidRDefault="00C70E2E">
      <w:pPr>
        <w:pStyle w:val="Bodycopy"/>
      </w:pPr>
    </w:p>
    <w:p w:rsidR="00E30157" w:rsidRDefault="00E30157">
      <w:pPr>
        <w:pStyle w:val="Bodycopy"/>
      </w:pPr>
      <w:r>
        <w:t xml:space="preserve">Fatih Erturk, System Support Manager of Telcoset, said that the implementation was </w:t>
      </w:r>
      <w:r w:rsidR="00F07BF1">
        <w:t>two-phased</w:t>
      </w:r>
      <w:r>
        <w:t>.</w:t>
      </w:r>
      <w:r w:rsidR="00C70E2E">
        <w:t xml:space="preserve"> He said, </w:t>
      </w:r>
      <w:r>
        <w:t>“During the first phase, the user list was determined and the servers were installed</w:t>
      </w:r>
      <w:r w:rsidR="00C70E2E">
        <w:t xml:space="preserve">. </w:t>
      </w:r>
      <w:r>
        <w:t xml:space="preserve">In addition, we defined field users under </w:t>
      </w:r>
      <w:r w:rsidR="00F76845">
        <w:t>the company</w:t>
      </w:r>
      <w:r w:rsidR="00EC056E">
        <w:t>’s web</w:t>
      </w:r>
      <w:r>
        <w:t xml:space="preserve"> domain, assigned an enterprise email address to each user, and ensured that they </w:t>
      </w:r>
      <w:r w:rsidR="00EE6240">
        <w:t>could</w:t>
      </w:r>
      <w:r>
        <w:t xml:space="preserve"> access their accounts via Outlook Web Acce</w:t>
      </w:r>
      <w:r w:rsidR="00C70E2E">
        <w:t>ss, even when the</w:t>
      </w:r>
      <w:r w:rsidR="00EE6240">
        <w:t>y had no</w:t>
      </w:r>
      <w:r w:rsidR="00C70E2E">
        <w:t xml:space="preserve"> stand</w:t>
      </w:r>
      <w:r>
        <w:t>alone email client installed on their computers.”</w:t>
      </w:r>
    </w:p>
    <w:p w:rsidR="00E30157" w:rsidRDefault="00E30157">
      <w:pPr>
        <w:pStyle w:val="Bodycopy"/>
      </w:pPr>
    </w:p>
    <w:p w:rsidR="00E30157" w:rsidRDefault="00E30157">
      <w:pPr>
        <w:pStyle w:val="Bodycopy"/>
      </w:pPr>
      <w:r>
        <w:lastRenderedPageBreak/>
        <w:t>During the second phase, Telcoset used Microsoft System Center Configuration Manager (SCCM) to deploy Microsoft Outlook for 600 users. SCMM scripts were used to prevent configuration mistakes and ensure a seamless migration, said Erturk.</w:t>
      </w:r>
    </w:p>
    <w:p w:rsidR="00E30157" w:rsidRDefault="00E30157">
      <w:pPr>
        <w:pStyle w:val="Bodycopy"/>
      </w:pPr>
    </w:p>
    <w:tbl>
      <w:tblPr>
        <w:tblpPr w:leftFromText="180" w:rightFromText="180" w:vertAnchor="text" w:horzAnchor="page" w:tblpX="9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3"/>
      </w:tblGrid>
      <w:tr w:rsidR="003C75B4" w:rsidRPr="00F640F6" w:rsidTr="006500F7">
        <w:tc>
          <w:tcPr>
            <w:tcW w:w="3133" w:type="dxa"/>
            <w:tcBorders>
              <w:top w:val="nil"/>
              <w:left w:val="nil"/>
              <w:bottom w:val="nil"/>
              <w:right w:val="nil"/>
            </w:tcBorders>
          </w:tcPr>
          <w:p w:rsidR="003C75B4" w:rsidRPr="00F640F6" w:rsidRDefault="003C75B4" w:rsidP="006500F7">
            <w:pPr>
              <w:spacing w:line="400" w:lineRule="exact"/>
              <w:rPr>
                <w:color w:val="A0A0A0"/>
                <w:sz w:val="28"/>
                <w:lang w:val="en-US"/>
              </w:rPr>
            </w:pPr>
            <w:r w:rsidRPr="00F640F6">
              <w:rPr>
                <w:color w:val="A0A0A0"/>
                <w:sz w:val="28"/>
                <w:lang w:val="en-US"/>
              </w:rPr>
              <w:t>“</w:t>
            </w:r>
            <w:r>
              <w:rPr>
                <w:color w:val="A0A0A0"/>
                <w:sz w:val="28"/>
                <w:lang w:val="en-US"/>
              </w:rPr>
              <w:t>The primary benefit of our new system is Single Sign-On authorization because we use many applications besides email that require authorization</w:t>
            </w:r>
            <w:r w:rsidRPr="00F640F6">
              <w:rPr>
                <w:color w:val="A0A0A0"/>
                <w:sz w:val="28"/>
                <w:lang w:val="en-US"/>
              </w:rPr>
              <w:t>.</w:t>
            </w:r>
            <w:r>
              <w:rPr>
                <w:color w:val="A0A0A0"/>
                <w:sz w:val="28"/>
                <w:lang w:val="en-US"/>
              </w:rPr>
              <w:t xml:space="preserve"> With the new system, our users don’t need to remember and enter multiple passwords to use their applications.</w:t>
            </w:r>
            <w:r w:rsidRPr="00F640F6">
              <w:rPr>
                <w:color w:val="A0A0A0"/>
                <w:sz w:val="28"/>
                <w:lang w:val="en-US"/>
              </w:rPr>
              <w:t>”</w:t>
            </w:r>
          </w:p>
          <w:p w:rsidR="003C75B4" w:rsidRPr="00F640F6" w:rsidRDefault="003C75B4" w:rsidP="006500F7">
            <w:pPr>
              <w:spacing w:line="240" w:lineRule="exact"/>
              <w:jc w:val="right"/>
              <w:rPr>
                <w:color w:val="A0A0A0"/>
                <w:lang w:val="en-US"/>
              </w:rPr>
            </w:pPr>
            <w:r w:rsidRPr="00F640F6">
              <w:rPr>
                <w:color w:val="A0A0A0"/>
                <w:lang w:val="en-US"/>
              </w:rPr>
              <w:t xml:space="preserve">Jale Yigin, IT Manager, </w:t>
            </w:r>
          </w:p>
          <w:p w:rsidR="003C75B4" w:rsidRPr="00F640F6" w:rsidRDefault="003C75B4" w:rsidP="006500F7">
            <w:pPr>
              <w:spacing w:line="240" w:lineRule="exact"/>
              <w:jc w:val="right"/>
              <w:rPr>
                <w:color w:val="A0A0A0"/>
                <w:lang w:val="en-US"/>
              </w:rPr>
            </w:pPr>
            <w:r w:rsidRPr="00F640F6">
              <w:rPr>
                <w:color w:val="A0A0A0"/>
                <w:lang w:val="en-US"/>
              </w:rPr>
              <w:t>Bilim Ilac Inc.</w:t>
            </w:r>
          </w:p>
          <w:p w:rsidR="003C75B4" w:rsidRPr="00F640F6" w:rsidRDefault="003C75B4" w:rsidP="006500F7">
            <w:pPr>
              <w:spacing w:before="120" w:line="200" w:lineRule="exact"/>
              <w:jc w:val="right"/>
              <w:rPr>
                <w:color w:val="A0A0A0"/>
                <w:lang w:val="en-US"/>
              </w:rPr>
            </w:pPr>
          </w:p>
        </w:tc>
      </w:tr>
    </w:tbl>
    <w:p w:rsidR="00E30157" w:rsidRDefault="00E30157">
      <w:pPr>
        <w:pStyle w:val="Bodycopy"/>
      </w:pPr>
      <w:r>
        <w:t>Telcoset complete</w:t>
      </w:r>
      <w:r w:rsidR="00892945">
        <w:t>d the project, which included Outlook user training</w:t>
      </w:r>
      <w:r>
        <w:t xml:space="preserve">, in just two months, successfully migrating Bilim Ilac’s entire messaging platform to Microsoft Exchange by September 2007. </w:t>
      </w:r>
    </w:p>
    <w:p w:rsidR="00294CBB" w:rsidRDefault="00294CBB">
      <w:pPr>
        <w:pStyle w:val="Bodycopy"/>
      </w:pPr>
    </w:p>
    <w:p w:rsidR="00E30157" w:rsidRDefault="00E30157">
      <w:pPr>
        <w:pStyle w:val="Bodycopy"/>
      </w:pPr>
      <w:r>
        <w:t xml:space="preserve">During the process, user groups defined under the legacy system were re-checked, unused groups were deleted, and new groups were created based on </w:t>
      </w:r>
      <w:r w:rsidR="00892945">
        <w:t>Bilim Ilac’s</w:t>
      </w:r>
      <w:r>
        <w:t xml:space="preserve"> organizational </w:t>
      </w:r>
      <w:r w:rsidR="00892945">
        <w:t>and business need</w:t>
      </w:r>
      <w:r>
        <w:t>s.</w:t>
      </w:r>
    </w:p>
    <w:p w:rsidR="00E30157" w:rsidRDefault="00E30157">
      <w:pPr>
        <w:pStyle w:val="Bodycopy"/>
      </w:pPr>
      <w:r>
        <w:t>Thanks to the full integration between Active Directory and Exchange Server, new users were automatically included in the relevant groups as soon as they were defined under Active Directory.</w:t>
      </w:r>
    </w:p>
    <w:p w:rsidR="00E30157" w:rsidRDefault="00E30157">
      <w:pPr>
        <w:pStyle w:val="Bodycopy"/>
      </w:pPr>
    </w:p>
    <w:p w:rsidR="00E30157" w:rsidRDefault="00E30157">
      <w:pPr>
        <w:pStyle w:val="Bodycopy"/>
      </w:pPr>
      <w:r>
        <w:t xml:space="preserve">Erturk </w:t>
      </w:r>
      <w:r w:rsidR="00BE2496">
        <w:t>said</w:t>
      </w:r>
      <w:r>
        <w:t xml:space="preserve">: “With the previous messaging application, it could have been possible to implement a Single Sign-On system, but it would </w:t>
      </w:r>
      <w:r w:rsidR="00EE6240">
        <w:t xml:space="preserve">have required </w:t>
      </w:r>
      <w:r>
        <w:t>a third-party or custom application that runs through a connector, and such connectors don’t always work efficiently, creating connection problems. Considering the potential problems, we opted for a fully integrated system from a single vendor.”</w:t>
      </w:r>
    </w:p>
    <w:p w:rsidR="0040256D" w:rsidRDefault="0040256D">
      <w:pPr>
        <w:pStyle w:val="Bodycopy"/>
      </w:pPr>
    </w:p>
    <w:p w:rsidR="00E30157" w:rsidRDefault="0040256D">
      <w:pPr>
        <w:pStyle w:val="Bodycopy"/>
      </w:pPr>
      <w:r>
        <w:t>He added:</w:t>
      </w:r>
      <w:r w:rsidR="00E30157">
        <w:t xml:space="preserve"> “Microsoft Exchange Server 2007 also integrates with Microsoft Office Communications Server 2007, so the email, telephony, and voice messaging systems can converge. It was one of the reasons underlying Bilim Ilac’s preference for Exchange Server 2007, and currently we are in the process of implementing an Office Communications Server 2007 project.”</w:t>
      </w:r>
    </w:p>
    <w:p w:rsidR="0040256D" w:rsidRDefault="0040256D">
      <w:pPr>
        <w:pStyle w:val="Bodycopy"/>
      </w:pPr>
    </w:p>
    <w:p w:rsidR="002A36E0" w:rsidRDefault="00E30157">
      <w:pPr>
        <w:pStyle w:val="Bodycopy"/>
      </w:pPr>
      <w:r>
        <w:t xml:space="preserve">Bilim Ilac is </w:t>
      </w:r>
      <w:r w:rsidR="0040256D">
        <w:t xml:space="preserve">also </w:t>
      </w:r>
      <w:r>
        <w:t xml:space="preserve">planning to </w:t>
      </w:r>
      <w:r w:rsidR="002A12D4">
        <w:t>deploy</w:t>
      </w:r>
      <w:r>
        <w:t xml:space="preserve"> </w:t>
      </w:r>
      <w:r w:rsidR="002A12D4">
        <w:t xml:space="preserve">security solutions such as </w:t>
      </w:r>
      <w:r>
        <w:t>Microsoft Forefront, Microsoft Unified Acces</w:t>
      </w:r>
      <w:r w:rsidR="002A12D4">
        <w:t>s Gateway, and Microsoft Threat</w:t>
      </w:r>
      <w:r w:rsidR="002A12D4" w:rsidRPr="002A12D4">
        <w:t xml:space="preserve"> </w:t>
      </w:r>
      <w:r w:rsidR="002A12D4">
        <w:t xml:space="preserve">Management Gateway, said </w:t>
      </w:r>
      <w:r w:rsidR="00247E42">
        <w:t>IT System Supervisor</w:t>
      </w:r>
      <w:r w:rsidR="002A12D4">
        <w:t xml:space="preserve"> Tur.</w:t>
      </w:r>
    </w:p>
    <w:p w:rsidR="002A36E0" w:rsidRDefault="002A36E0">
      <w:pPr>
        <w:pStyle w:val="Bodycopy"/>
      </w:pPr>
    </w:p>
    <w:p w:rsidR="003119F1" w:rsidRDefault="00E30157">
      <w:pPr>
        <w:pStyle w:val="Bodycopy"/>
      </w:pPr>
      <w:r>
        <w:t>“</w:t>
      </w:r>
      <w:r w:rsidR="00EE6240">
        <w:t>W</w:t>
      </w:r>
      <w:r>
        <w:t xml:space="preserve">e will upgrade to Microsoft Exchange Server 2010 at the beginning of 2010,” he </w:t>
      </w:r>
      <w:r w:rsidR="002A12D4">
        <w:t>added</w:t>
      </w:r>
      <w:r>
        <w:t>.</w:t>
      </w:r>
      <w:bookmarkEnd w:id="17"/>
    </w:p>
    <w:p w:rsidR="003119F1" w:rsidRDefault="003119F1">
      <w:pPr>
        <w:pStyle w:val="SectionHeading"/>
      </w:pPr>
      <w:r>
        <w:t>Benefits</w:t>
      </w:r>
    </w:p>
    <w:p w:rsidR="00E30157" w:rsidRPr="0040256D" w:rsidRDefault="00E30157">
      <w:pPr>
        <w:pStyle w:val="Bodycopy"/>
        <w:rPr>
          <w:b/>
        </w:rPr>
      </w:pPr>
      <w:bookmarkStart w:id="18" w:name="DocumentBenefits"/>
      <w:r w:rsidRPr="0040256D">
        <w:rPr>
          <w:b/>
        </w:rPr>
        <w:t>Central Management</w:t>
      </w:r>
    </w:p>
    <w:p w:rsidR="00E30157" w:rsidRDefault="00E30157">
      <w:pPr>
        <w:pStyle w:val="Bodycopy"/>
      </w:pPr>
      <w:r>
        <w:t>Bilim Ilac can now manage user accounts under Active Directory, which allows automatic creation of email and portal accounts when a new user account is created. In addition, the Single Sign-On feature centralizes user authorizations.</w:t>
      </w:r>
    </w:p>
    <w:p w:rsidR="00E30157" w:rsidRDefault="00E30157">
      <w:pPr>
        <w:pStyle w:val="Bodycopy"/>
      </w:pPr>
    </w:p>
    <w:p w:rsidR="00E30157" w:rsidRDefault="00E30157">
      <w:pPr>
        <w:pStyle w:val="Bodycopy"/>
      </w:pPr>
      <w:r>
        <w:t>IT Manager Yigin said: “The primary benefit of our new system is Single Sign-On authorization because we use many applications besides email that require authorization. With the new system, our users don’t need to remember and enter multiple passwords to use their applications.”</w:t>
      </w:r>
    </w:p>
    <w:p w:rsidR="00E30157" w:rsidRDefault="00E30157">
      <w:pPr>
        <w:pStyle w:val="Bodycopy"/>
      </w:pPr>
    </w:p>
    <w:p w:rsidR="0040256D" w:rsidRDefault="00E30157">
      <w:pPr>
        <w:pStyle w:val="Bodycopy"/>
      </w:pPr>
      <w:r>
        <w:t xml:space="preserve">Telcoset’s Erturk said that when a password change was needed with the old messaging platform, the passwords of both system and email accounts needed to be changed separately. Exchange Server, on the other hand, allows centralized password management, saving time </w:t>
      </w:r>
      <w:r w:rsidR="0040256D">
        <w:t>for both HR and IT departments.</w:t>
      </w:r>
    </w:p>
    <w:p w:rsidR="0040256D" w:rsidRDefault="0040256D">
      <w:pPr>
        <w:pStyle w:val="Bodycopy"/>
      </w:pPr>
    </w:p>
    <w:p w:rsidR="00E30157" w:rsidRDefault="00E30157">
      <w:pPr>
        <w:pStyle w:val="Bodycopy"/>
      </w:pPr>
      <w:r>
        <w:t>Managing user accounts used to take 1 man-month for 2,100 users, but since most of the work is automatic now, the Microsoft system has saved 1 man-month for Bilim Ilac, said Erturk.</w:t>
      </w:r>
    </w:p>
    <w:p w:rsidR="0040256D" w:rsidRDefault="0040256D">
      <w:pPr>
        <w:pStyle w:val="Bodycopy"/>
      </w:pPr>
    </w:p>
    <w:p w:rsidR="00F11464" w:rsidRPr="005E42F3" w:rsidRDefault="00E30157" w:rsidP="00F11464">
      <w:pPr>
        <w:pStyle w:val="Bodycopy"/>
        <w:rPr>
          <w:b/>
        </w:rPr>
      </w:pPr>
      <w:r w:rsidRPr="0040256D">
        <w:rPr>
          <w:b/>
        </w:rPr>
        <w:t>Improved Integration</w:t>
      </w:r>
      <w:r w:rsidR="00561B5A">
        <w:rPr>
          <w:b/>
        </w:rPr>
        <w:t>,</w:t>
      </w:r>
      <w:r w:rsidR="00F11464">
        <w:rPr>
          <w:b/>
        </w:rPr>
        <w:t xml:space="preserve"> </w:t>
      </w:r>
      <w:r w:rsidR="00984970">
        <w:rPr>
          <w:b/>
        </w:rPr>
        <w:t>Lower TCO</w:t>
      </w:r>
    </w:p>
    <w:p w:rsidR="00E30157" w:rsidRDefault="004A7509">
      <w:pPr>
        <w:pStyle w:val="Bodycopy"/>
      </w:pPr>
      <w:r>
        <w:lastRenderedPageBreak/>
        <w:t>Integration has</w:t>
      </w:r>
      <w:r w:rsidR="00E34A7E">
        <w:t xml:space="preserve"> improved since </w:t>
      </w:r>
      <w:r w:rsidR="00E30157">
        <w:t xml:space="preserve">Microsoft-native applications </w:t>
      </w:r>
      <w:r>
        <w:t>are</w:t>
      </w:r>
      <w:r w:rsidR="00E30157">
        <w:t xml:space="preserve"> easily integrated under Active Directory, said Erturk. </w:t>
      </w:r>
      <w:r>
        <w:t>It i</w:t>
      </w:r>
      <w:r w:rsidR="00E34A7E">
        <w:t>s</w:t>
      </w:r>
      <w:r w:rsidR="00E30157">
        <w:t xml:space="preserve"> also easier to find and debug software errors with Microsoft-native applications. </w:t>
      </w:r>
    </w:p>
    <w:p w:rsidR="005E42F3" w:rsidRDefault="005E42F3">
      <w:pPr>
        <w:pStyle w:val="Bodycopy"/>
      </w:pPr>
    </w:p>
    <w:p w:rsidR="00E30157" w:rsidRDefault="00E30157">
      <w:pPr>
        <w:pStyle w:val="Bodycopy"/>
      </w:pPr>
      <w:r>
        <w:t xml:space="preserve">“With a non-Microsoft messaging platform, the businesses usually need to hire additional experts specialized on that platform,” he said. “Now </w:t>
      </w:r>
      <w:r w:rsidR="00F11464">
        <w:t xml:space="preserve">that </w:t>
      </w:r>
      <w:r>
        <w:t>Bilim Ilac has an end-to-end Microsoft platform, even an Active Directory administrator can support Microsoft Exchange Server.”</w:t>
      </w:r>
    </w:p>
    <w:p w:rsidR="00E30157" w:rsidRDefault="00E30157">
      <w:pPr>
        <w:pStyle w:val="Bodycopy"/>
      </w:pPr>
      <w:r>
        <w:t>IT Manager Yigin said: “With the Enterprise Agreement, all Microsoft solutions, including Microsoft Exchange Server 2007, are available to us with a better total cost of ownership</w:t>
      </w:r>
      <w:r w:rsidR="006439E8">
        <w:t xml:space="preserve"> (TCO)</w:t>
      </w:r>
      <w:r>
        <w:t xml:space="preserve">. If we </w:t>
      </w:r>
      <w:r w:rsidR="00EC3DB7">
        <w:t xml:space="preserve">had </w:t>
      </w:r>
      <w:r>
        <w:t xml:space="preserve">continued </w:t>
      </w:r>
      <w:r w:rsidR="00EC3DB7">
        <w:t xml:space="preserve">using </w:t>
      </w:r>
      <w:r>
        <w:t>the previous messaging platform, we would be paying licensing fees for it. In this respect, Microsoft solutions offer us a cost advantage.”</w:t>
      </w:r>
    </w:p>
    <w:p w:rsidR="005E42F3" w:rsidRDefault="005E42F3">
      <w:pPr>
        <w:pStyle w:val="Bodycopy"/>
      </w:pPr>
    </w:p>
    <w:p w:rsidR="005E42F3" w:rsidRPr="00426D0A" w:rsidRDefault="00E30157">
      <w:pPr>
        <w:pStyle w:val="Bodycopy"/>
        <w:rPr>
          <w:b/>
        </w:rPr>
      </w:pPr>
      <w:r w:rsidRPr="005E42F3">
        <w:rPr>
          <w:b/>
        </w:rPr>
        <w:t>Improved User Satisfaction, Efficiency</w:t>
      </w:r>
    </w:p>
    <w:p w:rsidR="005E42F3" w:rsidRDefault="00E30157">
      <w:pPr>
        <w:pStyle w:val="Bodycopy"/>
      </w:pPr>
      <w:r>
        <w:t xml:space="preserve">“With Microsoft Exchange Server and Microsoft Outlook features such as OWA, OMA and Outlook Anywhere, our users can </w:t>
      </w:r>
      <w:r w:rsidR="00435710">
        <w:t>access</w:t>
      </w:r>
      <w:r>
        <w:t xml:space="preserve"> th</w:t>
      </w:r>
      <w:r w:rsidR="00426D0A">
        <w:t>eir messages anywhere, anytime,” said Yigin. “</w:t>
      </w:r>
      <w:r>
        <w:t>With A</w:t>
      </w:r>
      <w:r w:rsidR="00426D0A">
        <w:t xml:space="preserve">ctive Directory Single Sign-On, </w:t>
      </w:r>
      <w:r>
        <w:t>they don’t need to remember multiple passwords. All these features help increase productivity of our users.”</w:t>
      </w:r>
    </w:p>
    <w:p w:rsidR="002734CF" w:rsidRDefault="002734CF">
      <w:pPr>
        <w:pStyle w:val="Bodycopy"/>
      </w:pPr>
    </w:p>
    <w:p w:rsidR="00EC2090" w:rsidRDefault="008B5CB7">
      <w:pPr>
        <w:pStyle w:val="Bodycopy"/>
      </w:pPr>
      <w:r>
        <w:t>Previously, i</w:t>
      </w:r>
      <w:r w:rsidR="00E30157">
        <w:t>t was hard for emp</w:t>
      </w:r>
      <w:r>
        <w:t xml:space="preserve">loyees to adapt to the legacy </w:t>
      </w:r>
      <w:r w:rsidR="00E30157">
        <w:t xml:space="preserve">messaging client. But as most </w:t>
      </w:r>
      <w:r w:rsidR="006824E0">
        <w:t xml:space="preserve">were </w:t>
      </w:r>
      <w:r w:rsidR="00E30157">
        <w:t>already familiar with</w:t>
      </w:r>
      <w:r w:rsidR="006824E0">
        <w:t xml:space="preserve"> </w:t>
      </w:r>
      <w:r w:rsidR="001F1C94">
        <w:t xml:space="preserve">the more </w:t>
      </w:r>
    </w:p>
    <w:p w:rsidR="00E30157" w:rsidRDefault="001F1C94">
      <w:pPr>
        <w:pStyle w:val="Bodycopy"/>
      </w:pPr>
      <w:r>
        <w:t xml:space="preserve">user-friendly </w:t>
      </w:r>
      <w:r w:rsidR="00E30157">
        <w:t xml:space="preserve">Microsoft applications, </w:t>
      </w:r>
      <w:r w:rsidR="003C1AF7">
        <w:t>user</w:t>
      </w:r>
      <w:r w:rsidR="006824E0">
        <w:t xml:space="preserve"> adoption was not an issue</w:t>
      </w:r>
      <w:r w:rsidR="00E30157">
        <w:t>.</w:t>
      </w:r>
    </w:p>
    <w:p w:rsidR="00EC2090" w:rsidRDefault="00EC2090">
      <w:pPr>
        <w:pStyle w:val="Bodycopy"/>
      </w:pPr>
    </w:p>
    <w:p w:rsidR="00E30157" w:rsidRDefault="00E30157">
      <w:pPr>
        <w:pStyle w:val="Bodycopy"/>
      </w:pPr>
      <w:r>
        <w:t xml:space="preserve">Tur said: “They needed to develop two sets of habits when working with both Microsoft </w:t>
      </w:r>
      <w:r>
        <w:lastRenderedPageBreak/>
        <w:t>Office applications and the previous messaging client. Besides, integration between Microsoft Office applications and the previous messaging client was limited.</w:t>
      </w:r>
    </w:p>
    <w:p w:rsidR="00E30157" w:rsidRDefault="00E30157">
      <w:pPr>
        <w:pStyle w:val="Bodycopy"/>
      </w:pPr>
    </w:p>
    <w:p w:rsidR="00E30157" w:rsidRDefault="00E30157">
      <w:pPr>
        <w:pStyle w:val="Bodycopy"/>
      </w:pPr>
      <w:r>
        <w:t>“In particular, our users noted that they are extremely satisfied with Microsoft Outlook features such as Office Assistant, Calendar, Contacts, and Tasks.”</w:t>
      </w:r>
    </w:p>
    <w:p w:rsidR="005E42F3" w:rsidRDefault="005E42F3">
      <w:pPr>
        <w:pStyle w:val="Bodycopy"/>
      </w:pPr>
    </w:p>
    <w:p w:rsidR="00E30157" w:rsidRPr="005E42F3" w:rsidRDefault="00E30157">
      <w:pPr>
        <w:pStyle w:val="Bodycopy"/>
        <w:rPr>
          <w:b/>
        </w:rPr>
      </w:pPr>
      <w:r w:rsidRPr="005E42F3">
        <w:rPr>
          <w:b/>
        </w:rPr>
        <w:t>Improved Data and Access Security</w:t>
      </w:r>
    </w:p>
    <w:p w:rsidR="00426D0A" w:rsidRDefault="00E30157" w:rsidP="00426D0A">
      <w:pPr>
        <w:pStyle w:val="Bodycopy"/>
      </w:pPr>
      <w:r>
        <w:t xml:space="preserve">Instead of Web-based emails, field teams now enjoy the secure communication </w:t>
      </w:r>
      <w:r w:rsidR="009D799C">
        <w:t xml:space="preserve">and </w:t>
      </w:r>
      <w:r w:rsidR="00377E0D">
        <w:t>improved</w:t>
      </w:r>
      <w:r w:rsidR="009D799C">
        <w:t xml:space="preserve"> professional image </w:t>
      </w:r>
      <w:r w:rsidR="001D31A3">
        <w:t xml:space="preserve">offered by Microsoft’s enterprise </w:t>
      </w:r>
      <w:r w:rsidR="005E42F3">
        <w:t>messaging system.</w:t>
      </w:r>
      <w:r w:rsidR="001B5849">
        <w:t xml:space="preserve"> </w:t>
      </w:r>
      <w:r w:rsidR="00426D0A">
        <w:t xml:space="preserve">“Exchange Server also allows users to share files securely, without need for a file server,” said Tur. </w:t>
      </w:r>
    </w:p>
    <w:p w:rsidR="00426D0A" w:rsidRDefault="00426D0A" w:rsidP="00426D0A">
      <w:pPr>
        <w:pStyle w:val="Bodycopy"/>
      </w:pPr>
    </w:p>
    <w:p w:rsidR="001F1C94" w:rsidRDefault="00E30157">
      <w:pPr>
        <w:pStyle w:val="Bodycopy"/>
      </w:pPr>
      <w:r>
        <w:t xml:space="preserve">Bilim Ilac plans to use Exchange Server 2010’s </w:t>
      </w:r>
      <w:r w:rsidR="00BE7613">
        <w:t xml:space="preserve">archiving </w:t>
      </w:r>
      <w:r>
        <w:t>fe</w:t>
      </w:r>
      <w:r w:rsidR="001F1C94">
        <w:t>ature for its regular back-ups.</w:t>
      </w:r>
    </w:p>
    <w:p w:rsidR="001F1C94" w:rsidRDefault="001F1C94">
      <w:pPr>
        <w:pStyle w:val="Bodycopy"/>
      </w:pPr>
    </w:p>
    <w:p w:rsidR="00010515" w:rsidRDefault="00E30157">
      <w:pPr>
        <w:pStyle w:val="Bodycopy"/>
      </w:pPr>
      <w:r>
        <w:t>Tur said: “With Exchange Server 2010, we will be able to back up and archive all our Exchange data, without additional cost of a third-party software.”</w:t>
      </w:r>
      <w:bookmarkEnd w:id="18"/>
    </w:p>
    <w:p w:rsidR="005E42F3" w:rsidRDefault="005E42F3">
      <w:pPr>
        <w:pStyle w:val="Bodycopy"/>
      </w:pPr>
    </w:p>
    <w:p w:rsidR="003119F1" w:rsidRDefault="005D42E5">
      <w:pPr>
        <w:pStyle w:val="SectionHeading"/>
      </w:pPr>
      <w:bookmarkStart w:id="19" w:name="ProductBoilerplateTitle"/>
      <w:r>
        <w:rPr>
          <w:noProof/>
          <w:sz w:val="20"/>
        </w:rPr>
        <w:pict>
          <v:shapetype id="_x0000_t202" coordsize="21600,21600" o:spt="202" path="m,l,21600r21600,l21600,xe">
            <v:stroke joinstyle="miter"/>
            <v:path gradientshapeok="t" o:connecttype="rect"/>
          </v:shapetype>
          <v:shape id="Text Box 102" o:spid="_x0000_s1029" type="#_x0000_t202" style="position:absolute;margin-left:225pt;margin-top:658pt;width:348.3pt;height:44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" strokecolor="#b3b3b3">
            <v:fill color2="#ebebeb" rotate="t" focus="100%" type="gradient"/>
            <v:textbox inset="0,0,0,0">
              <w:txbxContent>
                <w:tbl>
                  <w:tblPr>
                    <w:tblW w:w="0" w:type="auto"/>
                    <w:tblInd w:w="156" w:type="dxa"/>
                    <w:tblCellMar>
                      <w:left w:w="0" w:type="dxa"/>
                      <w:right w:w="120" w:type="dxa"/>
                    </w:tblCellMar>
                    <w:tblLook w:val="0000" w:firstRow="0" w:lastRow="0" w:firstColumn="0" w:lastColumn="0" w:noHBand="0" w:noVBand="0"/>
                  </w:tblPr>
                  <w:tblGrid>
                    <w:gridCol w:w="3302"/>
                    <w:gridCol w:w="3390"/>
                  </w:tblGrid>
                  <w:tr w:rsidR="00A20283">
                    <w:trPr>
                      <w:cantSplit/>
                      <w:trHeight w:hRule="exact" w:val="170"/>
                    </w:trPr>
                    <w:tc>
                      <w:tcPr>
                        <w:tcW w:w="6692" w:type="dxa"/>
                        <w:gridSpan w:val="2"/>
                      </w:tcPr>
                      <w:p w:rsidR="00A20283" w:rsidRDefault="00A20283">
                        <w:pPr>
                          <w:pStyle w:val="SectionHeadingGrey"/>
                        </w:pPr>
                        <w:bookmarkStart w:id="20" w:name="Softwareandservicestable"/>
                        <w:bookmarkEnd w:id="20"/>
                      </w:p>
                    </w:tc>
                  </w:tr>
                  <w:tr w:rsidR="00A20283">
                    <w:trPr>
                      <w:trHeight w:val="3846"/>
                    </w:trPr>
                    <w:tc>
                      <w:tcPr>
                        <w:tcW w:w="3302" w:type="dxa"/>
                      </w:tcPr>
                      <w:p w:rsidR="00E30157" w:rsidRDefault="00E30157" w:rsidP="00E30157">
                        <w:pPr>
                          <w:pStyle w:val="SectionHeadingGrey"/>
                        </w:pPr>
                        <w:bookmarkStart w:id="21" w:name="SoftwareandServices1"/>
                        <w:bookmarkEnd w:id="21"/>
                        <w:r>
                          <w:t>Software and Services</w:t>
                        </w:r>
                      </w:p>
                      <w:p w:rsidR="00A20283" w:rsidRDefault="00E30157" w:rsidP="00E30157">
                        <w:pPr>
                          <w:pStyle w:val="BulletGrey"/>
                        </w:pPr>
                        <w:r>
                          <w:t>Microsoft Server Product Portfolio</w:t>
                        </w:r>
                      </w:p>
                    </w:tc>
                    <w:tc>
                      <w:tcPr>
                        <w:tcW w:w="3390" w:type="dxa"/>
                      </w:tcPr>
                      <w:p w:rsidR="00A20283" w:rsidRDefault="00E30157" w:rsidP="00E30157">
                        <w:pPr>
                          <w:pStyle w:val="BulletLevel2"/>
                        </w:pPr>
                        <w:bookmarkStart w:id="22" w:name="SoftwareandServices2"/>
                        <w:bookmarkEnd w:id="22"/>
                        <w:r>
                          <w:t>Exchange Server 2007 Enterprise Edition</w:t>
                        </w:r>
                      </w:p>
                    </w:tc>
                  </w:tr>
                </w:tbl>
                <w:p w:rsidR="00A20283" w:rsidRDefault="00A20283">
                  <w:pPr>
                    <w:pStyle w:val="Bodycopy"/>
                    <w:rPr>
                      <w:lang w:val="sv-SE"/>
                    </w:rPr>
                  </w:pPr>
                </w:p>
              </w:txbxContent>
            </v:textbox>
            <w10:wrap type="square" anchorx="page" anchory="page"/>
            <w10:anchorlock/>
          </v:shape>
        </w:pict>
      </w:r>
      <w:r>
        <w:rPr>
          <w:noProof/>
          <w:sz w:val="20"/>
        </w:rPr>
        <w:pict>
          <v:shape id="DisclaimerBox" o:spid="_x0000_s1027" type="#_x0000_t202" style="position:absolute;margin-left:43.7pt;margin-top:650pt;width:172.3pt;height:109.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80"/>
                  </w:tblGrid>
                  <w:tr w:rsidR="00A20283">
                    <w:trPr>
                      <w:trHeight w:val="2114"/>
                    </w:trPr>
                    <w:tc>
                      <w:tcPr>
                        <w:tcW w:w="3200" w:type="dxa"/>
                        <w:tcBorders>
                          <w:top w:val="nil"/>
                          <w:left w:val="nil"/>
                          <w:bottom w:val="nil"/>
                          <w:right w:val="nil"/>
                        </w:tcBorders>
                        <w:vAlign w:val="bottom"/>
                      </w:tcPr>
                      <w:p w:rsidR="00A20283" w:rsidRDefault="00E30157">
                        <w:pPr>
                          <w:pStyle w:val="Disclaimer"/>
                        </w:pPr>
                        <w:bookmarkStart w:id="23" w:name="Disclaimer"/>
                        <w:r>
                          <w:rPr>
                            <w:szCs w:val="11"/>
                          </w:rPr>
                          <w:t>This case study is for informational purposes only. MICROSOFT MAKES NO WARRANTIES, EXPRESS OR IMPLIED, IN THIS SUMMARY.</w:t>
                        </w:r>
                        <w:bookmarkEnd w:id="23"/>
                      </w:p>
                      <w:p w:rsidR="00A20283" w:rsidRDefault="00A20283">
                        <w:pPr>
                          <w:pStyle w:val="Disclaimer"/>
                          <w:rPr>
                            <w:szCs w:val="11"/>
                          </w:rPr>
                        </w:pPr>
                      </w:p>
                      <w:p w:rsidR="00A20283" w:rsidRDefault="00A20283">
                        <w:pPr>
                          <w:pStyle w:val="Disclaimer"/>
                        </w:pPr>
                        <w:r>
                          <w:rPr>
                            <w:szCs w:val="11"/>
                          </w:rPr>
                          <w:t xml:space="preserve">Document published </w:t>
                        </w:r>
                        <w:bookmarkStart w:id="24" w:name="DocumentPublished"/>
                        <w:r w:rsidR="00D054D4">
                          <w:rPr>
                            <w:szCs w:val="11"/>
                          </w:rPr>
                          <w:t>March</w:t>
                        </w:r>
                        <w:r w:rsidR="00E30157">
                          <w:rPr>
                            <w:szCs w:val="11"/>
                          </w:rPr>
                          <w:t xml:space="preserve"> 2010</w:t>
                        </w:r>
                        <w:bookmarkEnd w:id="24"/>
                      </w:p>
                    </w:tc>
                    <w:tc>
                      <w:tcPr>
                        <w:tcW w:w="280" w:type="dxa"/>
                        <w:tcBorders>
                          <w:top w:val="nil"/>
                          <w:left w:val="nil"/>
                          <w:bottom w:val="nil"/>
                          <w:right w:val="single" w:sz="8" w:space="0" w:color="A0A0A0"/>
                        </w:tcBorders>
                        <w:vAlign w:val="bottom"/>
                      </w:tcPr>
                      <w:p w:rsidR="00A20283" w:rsidRDefault="00A20283">
                        <w:pPr>
                          <w:pStyle w:val="Disclaimer"/>
                        </w:pPr>
                      </w:p>
                    </w:tc>
                  </w:tr>
                </w:tbl>
                <w:p w:rsidR="00A20283" w:rsidRDefault="00A20283">
                  <w:pPr>
                    <w:pStyle w:val="Disclaimer"/>
                  </w:pPr>
                </w:p>
              </w:txbxContent>
            </v:textbox>
            <w10:wrap anchorx="page" anchory="page"/>
            <w10:anchorlock/>
          </v:shape>
        </w:pict>
      </w:r>
      <w:r>
        <w:rPr>
          <w:noProof/>
          <w:sz w:val="20"/>
        </w:rPr>
        <w:pict>
          <v:shape id="Text Box 87" o:spid="_x0000_s1028" type="#_x0000_t202" style="position:absolute;margin-left:42.55pt;margin-top:161.95pt;width:155.9pt;height:484.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" stroked="f">
            <v:textbox inset="0,0,0,0">
              <w:txbxContent>
                <w:p w:rsidR="00A20283" w:rsidRDefault="00A20283">
                  <w:pPr>
                    <w:pStyle w:val="SectionHeading"/>
                  </w:pPr>
                  <w:r>
                    <w:t>For More Information</w:t>
                  </w:r>
                </w:p>
                <w:p w:rsidR="00A20283" w:rsidRDefault="00A20283">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w:t>
                  </w:r>
                  <w:r w:rsidRPr="00573B55">
                    <w:t>Customers in the United States and Canada who are deaf or hard-of-hearing can reach Microsoft text telephone (TTY/TDD) services at (800) 892-5234.</w:t>
                  </w:r>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w:t>
                  </w:r>
                </w:p>
                <w:p w:rsidR="00A20283" w:rsidRDefault="005D42E5">
                  <w:pPr>
                    <w:pStyle w:val="Bodycopy"/>
                  </w:pPr>
                  <w:hyperlink r:id="rId12" w:history="1">
                    <w:r w:rsidR="00A20283" w:rsidRPr="00500DAB">
                      <w:rPr>
                        <w:rStyle w:val="URL"/>
                      </w:rPr>
                      <w:t>www.microsoft.com</w:t>
                    </w:r>
                  </w:hyperlink>
                </w:p>
                <w:p w:rsidR="00A20283" w:rsidRDefault="00A20283">
                  <w:pPr>
                    <w:pStyle w:val="Bodycopy"/>
                  </w:pPr>
                </w:p>
                <w:p w:rsidR="00A20283" w:rsidRDefault="00A20283">
                  <w:pPr>
                    <w:pStyle w:val="Bodycopy"/>
                  </w:pPr>
                  <w:r>
                    <w:t xml:space="preserve">For more information about </w:t>
                  </w:r>
                  <w:bookmarkStart w:id="25" w:name="PartnerName"/>
                  <w:r w:rsidR="00E30157">
                    <w:t>Telcoset Ileri Teknolojileri Inc.</w:t>
                  </w:r>
                  <w:bookmarkEnd w:id="25"/>
                  <w:r>
                    <w:t xml:space="preserve"> products and services, call </w:t>
                  </w:r>
                  <w:bookmarkStart w:id="26" w:name="PartnerPhone"/>
                  <w:r w:rsidR="00E30157">
                    <w:t>90 212 337 01 01</w:t>
                  </w:r>
                  <w:bookmarkEnd w:id="26"/>
                  <w:r>
                    <w:t xml:space="preserve"> or visit the Web site at:</w:t>
                  </w:r>
                  <w:r w:rsidRPr="0025550E">
                    <w:rPr>
                      <w:rStyle w:val="URL"/>
                    </w:rPr>
                    <w:t xml:space="preserve"> </w:t>
                  </w:r>
                  <w:bookmarkStart w:id="27" w:name="PartnerURL"/>
                  <w:r w:rsidR="00E30157">
                    <w:rPr>
                      <w:rStyle w:val="URL"/>
                    </w:rPr>
                    <w:t>www.telcoset.com.tr</w:t>
                  </w:r>
                  <w:bookmarkEnd w:id="27"/>
                </w:p>
                <w:p w:rsidR="00A20283" w:rsidRDefault="00A20283">
                  <w:pPr>
                    <w:pStyle w:val="Bodycopy"/>
                  </w:pPr>
                </w:p>
                <w:p w:rsidR="00A20283" w:rsidRDefault="00A20283">
                  <w:pPr>
                    <w:pStyle w:val="Bodycopy"/>
                  </w:pPr>
                  <w:r>
                    <w:t xml:space="preserve">For more information about </w:t>
                  </w:r>
                  <w:bookmarkStart w:id="28" w:name="CustomerName"/>
                  <w:r w:rsidR="00E30157">
                    <w:t>Bilim Ilac Inc.</w:t>
                  </w:r>
                  <w:bookmarkEnd w:id="28"/>
                  <w:r>
                    <w:t xml:space="preserve"> products and services, call </w:t>
                  </w:r>
                  <w:bookmarkStart w:id="29" w:name="CustomerPhone"/>
                  <w:r w:rsidR="00E30157">
                    <w:t>90 212 365 15 00</w:t>
                  </w:r>
                  <w:bookmarkEnd w:id="29"/>
                  <w:r>
                    <w:t xml:space="preserve"> or visit the Web site at:</w:t>
                  </w:r>
                  <w:r w:rsidRPr="0025550E">
                    <w:rPr>
                      <w:rStyle w:val="URL"/>
                    </w:rPr>
                    <w:t xml:space="preserve"> </w:t>
                  </w:r>
                  <w:bookmarkStart w:id="30" w:name="CustomerURL"/>
                  <w:r w:rsidR="00E30157">
                    <w:rPr>
                      <w:rStyle w:val="URL"/>
                    </w:rPr>
                    <w:t>www.bilimilac.com.tr</w:t>
                  </w:r>
                  <w:bookmarkEnd w:id="30"/>
                </w:p>
                <w:p w:rsidR="00A20283" w:rsidRDefault="00A20283">
                  <w:pPr>
                    <w:pStyle w:val="Bodycopy"/>
                  </w:pPr>
                </w:p>
              </w:txbxContent>
            </v:textbox>
            <w10:wrap anchorx="page" anchory="page"/>
            <w10:anchorlock/>
          </v:shape>
        </w:pict>
      </w:r>
      <w:r w:rsidR="00E30157">
        <w:rPr>
          <w:noProof/>
          <w:sz w:val="20"/>
        </w:rPr>
        <w:t>Microsoft Server Product Portfolio</w:t>
      </w:r>
      <w:bookmarkEnd w:id="19"/>
    </w:p>
    <w:p w:rsidR="00E30157" w:rsidRDefault="00E30157">
      <w:pPr>
        <w:pStyle w:val="Bodycopy"/>
      </w:pPr>
      <w:bookmarkStart w:id="31" w:name="ProductBoilerplateText"/>
      <w:r>
        <w:t>For more information about the Microsoft server product portfolio, go to:</w:t>
      </w:r>
    </w:p>
    <w:p w:rsidR="00E30157" w:rsidRDefault="00E30157">
      <w:pPr>
        <w:pStyle w:val="Bodycopy"/>
      </w:pPr>
      <w:r>
        <w:t>www.microsoft.com/servers/default.mspx</w:t>
      </w:r>
    </w:p>
    <w:p w:rsidR="00E30157" w:rsidRDefault="00E30157">
      <w:pPr>
        <w:pStyle w:val="Bodycopy"/>
      </w:pPr>
    </w:p>
    <w:p w:rsidR="00E30157" w:rsidRDefault="00E30157">
      <w:pPr>
        <w:pStyle w:val="Bodycopy"/>
      </w:pPr>
      <w:r>
        <w:t>For more information about Microsoft Exchange Server, go to:</w:t>
      </w:r>
    </w:p>
    <w:p w:rsidR="00E30157" w:rsidRPr="00E30157" w:rsidRDefault="00E30157">
      <w:pPr>
        <w:pStyle w:val="Bodycopy"/>
        <w:rPr>
          <w:rStyle w:val="URL"/>
        </w:rPr>
      </w:pPr>
      <w:r w:rsidRPr="00E30157">
        <w:rPr>
          <w:rStyle w:val="URL"/>
        </w:rPr>
        <w:t xml:space="preserve">www.microsoft.com/exchange </w:t>
      </w:r>
    </w:p>
    <w:bookmarkEnd w:id="31"/>
    <w:p w:rsidR="003119F1" w:rsidRDefault="003119F1">
      <w:pPr>
        <w:pStyle w:val="Bodycopy"/>
      </w:pPr>
    </w:p>
    <w:sectPr w:rsidR="003119F1" w:rsidSect="00361497">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54" w:rsidRDefault="00F77454">
      <w:r>
        <w:separator/>
      </w:r>
    </w:p>
  </w:endnote>
  <w:endnote w:type="continuationSeparator" w:id="0">
    <w:p w:rsidR="00F77454" w:rsidRDefault="00F7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embedRegular r:id="rId1" w:fontKey="{1DCC7CB3-5B54-4C28-8180-863B45469356}"/>
    <w:embedBold r:id="rId2" w:fontKey="{072AA1DE-5B85-42BA-8DC0-8FBCA5E8EAB7}"/>
    <w:embedItalic r:id="rId3" w:fontKey="{D18D3258-7753-4AFF-A0C4-658C3CDA8552}"/>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83" w:rsidRDefault="000974C1">
    <w:pPr>
      <w:pStyle w:val="Footer"/>
      <w:tabs>
        <w:tab w:val="left" w:pos="2760"/>
      </w:tabs>
      <w:jc w:val="right"/>
    </w:pPr>
    <w:r>
      <w:fldChar w:fldCharType="begin"/>
    </w:r>
    <w:r w:rsidR="00A20283">
      <w:instrText xml:space="preserve"> if </w:instrText>
    </w:r>
    <w:r>
      <w:rPr>
        <w:rStyle w:val="PageNumber"/>
      </w:rPr>
      <w:fldChar w:fldCharType="begin"/>
    </w:r>
    <w:r w:rsidR="00A20283">
      <w:rPr>
        <w:rStyle w:val="PageNumber"/>
      </w:rPr>
      <w:instrText xml:space="preserve"> PAGE </w:instrText>
    </w:r>
    <w:r>
      <w:rPr>
        <w:rStyle w:val="PageNumber"/>
      </w:rPr>
      <w:fldChar w:fldCharType="separate"/>
    </w:r>
    <w:r w:rsidR="005D42E5">
      <w:rPr>
        <w:rStyle w:val="PageNumber"/>
        <w:noProof/>
      </w:rPr>
      <w:instrText>4</w:instrText>
    </w:r>
    <w:r>
      <w:rPr>
        <w:rStyle w:val="PageNumber"/>
      </w:rPr>
      <w:fldChar w:fldCharType="end"/>
    </w:r>
    <w:r w:rsidR="00A20283">
      <w:rPr>
        <w:rStyle w:val="PageNumber"/>
      </w:rPr>
      <w:instrText xml:space="preserve"> = </w:instrText>
    </w:r>
    <w:r>
      <w:rPr>
        <w:rStyle w:val="PageNumber"/>
      </w:rPr>
      <w:fldChar w:fldCharType="begin"/>
    </w:r>
    <w:r w:rsidR="00A20283">
      <w:rPr>
        <w:rStyle w:val="PageNumber"/>
      </w:rPr>
      <w:instrText xml:space="preserve"> NUMPAGES </w:instrText>
    </w:r>
    <w:r>
      <w:rPr>
        <w:rStyle w:val="PageNumber"/>
      </w:rPr>
      <w:fldChar w:fldCharType="separate"/>
    </w:r>
    <w:r w:rsidR="005D42E5">
      <w:rPr>
        <w:rStyle w:val="PageNumber"/>
        <w:noProof/>
      </w:rPr>
      <w:instrText>4</w:instrText>
    </w:r>
    <w:r>
      <w:rPr>
        <w:rStyle w:val="PageNumber"/>
      </w:rPr>
      <w:fldChar w:fldCharType="end"/>
    </w:r>
    <w:r w:rsidR="00A20283">
      <w:rPr>
        <w:rStyle w:val="PageNumber"/>
      </w:rPr>
      <w:instrText xml:space="preserve"> </w:instrText>
    </w:r>
    <w:r w:rsidR="00E30157">
      <w:rPr>
        <w:noProof/>
        <w:spacing w:val="20"/>
        <w:sz w:val="16"/>
        <w:lang w:val="en-US"/>
      </w:rPr>
      <w:drawing>
        <wp:inline distT="0" distB="0" distL="0" distR="0">
          <wp:extent cx="1981200" cy="914400"/>
          <wp:effectExtent l="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A20283">
      <w:rPr>
        <w:rStyle w:val="PageNumber"/>
      </w:rPr>
      <w:instrText xml:space="preserve"> </w:instrText>
    </w:r>
    <w:r w:rsidR="00A20283">
      <w:instrText xml:space="preserve">"" </w:instrText>
    </w:r>
    <w:r>
      <w:fldChar w:fldCharType="separate"/>
    </w:r>
    <w:r w:rsidR="005D42E5">
      <w:rPr>
        <w:noProof/>
        <w:spacing w:val="20"/>
        <w:sz w:val="16"/>
        <w:lang w:val="en-US"/>
      </w:rPr>
      <w:drawing>
        <wp:inline distT="0" distB="0" distL="0" distR="0">
          <wp:extent cx="1981200" cy="914400"/>
          <wp:effectExtent l="0" t="0" r="0" b="0"/>
          <wp:docPr id="10"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54" w:rsidRDefault="00F77454">
      <w:r>
        <w:separator/>
      </w:r>
    </w:p>
  </w:footnote>
  <w:footnote w:type="continuationSeparator" w:id="0">
    <w:p w:rsidR="00F77454" w:rsidRDefault="00F7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83" w:rsidRDefault="005D42E5">
    <w:pPr>
      <w:pStyle w:val="Header"/>
    </w:pPr>
    <w:r>
      <w:rPr>
        <w:noProof/>
        <w:sz w:val="20"/>
        <w:lang w:val="en-US" w:bidi="ar-SA"/>
      </w:rPr>
      <w:pict>
        <v:line id="ThinGreenLine" o:spid="_x0000_s2049" style="position:absolute;left:0;text-align:left;flip:x;z-index:-251658240;visibility:visible;mso-position-horizontal-relative:page;mso-position-vertical-relative:page" from="212.35pt,161.6pt" to="212.3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" strokecolor="#a0a0a0">
          <w10:wrap anchorx="page" anchory="page"/>
        </v:line>
      </w:pict>
    </w:r>
    <w:r w:rsidR="00E30157">
      <w:rPr>
        <w:noProof/>
        <w:lang w:val="en-US" w:bidi="ar-SA"/>
      </w:rPr>
      <w:drawing>
        <wp:anchor distT="0" distB="0" distL="114300" distR="114300" simplePos="0" relativeHeight="251657216" behindDoc="1" locked="0" layoutInCell="0" allowOverlap="1">
          <wp:simplePos x="0" y="0"/>
          <wp:positionH relativeFrom="page">
            <wp:posOffset>0</wp:posOffset>
          </wp:positionH>
          <wp:positionV relativeFrom="page">
            <wp:posOffset>0</wp:posOffset>
          </wp:positionV>
          <wp:extent cx="7772400" cy="918210"/>
          <wp:effectExtent l="0" t="0" r="0" b="0"/>
          <wp:wrapNone/>
          <wp:docPr id="41" name="Picture 41" descr="Server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rver Sub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0622374"/>
    <w:lvl w:ilvl="0" w:tplc="859C5C50">
      <w:start w:val="1"/>
      <w:numFmt w:val="bullet"/>
      <w:lvlRestart w:val="0"/>
      <w:pStyle w:val="Bullet"/>
      <w:lvlText w:val=""/>
      <w:lvlJc w:val="left"/>
      <w:pPr>
        <w:tabs>
          <w:tab w:val="num" w:pos="360"/>
        </w:tabs>
        <w:ind w:left="360" w:hanging="360"/>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A7A609F8">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F74B0"/>
    <w:multiLevelType w:val="multilevel"/>
    <w:tmpl w:val="F108618C"/>
    <w:lvl w:ilvl="0">
      <w:start w:val="1"/>
      <w:numFmt w:val="bullet"/>
      <w:lvlText w:val=""/>
      <w:lvlJc w:val="left"/>
      <w:pPr>
        <w:tabs>
          <w:tab w:val="num" w:pos="360"/>
        </w:tabs>
        <w:ind w:left="360" w:hanging="36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6951B4"/>
    <w:multiLevelType w:val="multilevel"/>
    <w:tmpl w:val="46801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19B337B"/>
    <w:multiLevelType w:val="multilevel"/>
    <w:tmpl w:val="D79AD35E"/>
    <w:lvl w:ilvl="0">
      <w:start w:val="1"/>
      <w:numFmt w:val="bullet"/>
      <w:lvlRestart w:val="0"/>
      <w:lvlText w:val=""/>
      <w:lvlJc w:val="left"/>
      <w:pPr>
        <w:tabs>
          <w:tab w:val="num" w:pos="181"/>
        </w:tabs>
        <w:ind w:left="181" w:hanging="181"/>
      </w:pPr>
      <w:rPr>
        <w:rFonts w:ascii="Times New Roman" w:hAnsi="Times New Roman" w:cs="Times New Roman"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3140D9"/>
    <w:multiLevelType w:val="hybridMultilevel"/>
    <w:tmpl w:val="BEB23ABE"/>
    <w:lvl w:ilvl="0" w:tplc="50ECCCBA">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FE4487"/>
    <w:multiLevelType w:val="singleLevel"/>
    <w:tmpl w:val="86EEE6A8"/>
    <w:lvl w:ilvl="0">
      <w:start w:val="1"/>
      <w:numFmt w:val="decimal"/>
      <w:pStyle w:val="TOC2"/>
      <w:lvlText w:val="%1."/>
      <w:lvlJc w:val="left"/>
      <w:pPr>
        <w:tabs>
          <w:tab w:val="num" w:pos="360"/>
        </w:tabs>
        <w:ind w:left="360" w:hanging="360"/>
      </w:pPr>
    </w:lvl>
  </w:abstractNum>
  <w:abstractNum w:abstractNumId="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0">
    <w:nsid w:val="4F147D09"/>
    <w:multiLevelType w:val="hybridMultilevel"/>
    <w:tmpl w:val="E51870BA"/>
    <w:lvl w:ilvl="0" w:tplc="515A4410">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3F4638"/>
    <w:multiLevelType w:val="multilevel"/>
    <w:tmpl w:val="21565376"/>
    <w:lvl w:ilvl="0">
      <w:start w:val="1"/>
      <w:numFmt w:val="bullet"/>
      <w:lvlText w:val=""/>
      <w:lvlJc w:val="left"/>
      <w:pPr>
        <w:tabs>
          <w:tab w:val="num" w:pos="181"/>
        </w:tabs>
        <w:ind w:left="181" w:hanging="181"/>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3">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6601B23"/>
    <w:multiLevelType w:val="hybridMultilevel"/>
    <w:tmpl w:val="18B89D5A"/>
    <w:lvl w:ilvl="0" w:tplc="6F6AD104">
      <w:start w:val="1"/>
      <w:numFmt w:val="bullet"/>
      <w:lvlRestart w:val="0"/>
      <w:pStyle w:val="Bulletcolored"/>
      <w:lvlText w:val=""/>
      <w:lvlJc w:val="left"/>
      <w:pPr>
        <w:tabs>
          <w:tab w:val="num" w:pos="181"/>
        </w:tabs>
        <w:ind w:left="181" w:hanging="181"/>
      </w:pPr>
      <w:rPr>
        <w:rFonts w:ascii="Symbol" w:hAnsi="Symbol" w:cs="Times New Roman"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679401A"/>
    <w:multiLevelType w:val="multilevel"/>
    <w:tmpl w:val="9B684C5E"/>
    <w:lvl w:ilvl="0">
      <w:start w:val="1"/>
      <w:numFmt w:val="bullet"/>
      <w:lvlText w:val=""/>
      <w:lvlJc w:val="left"/>
      <w:pPr>
        <w:tabs>
          <w:tab w:val="num" w:pos="181"/>
        </w:tabs>
        <w:ind w:left="181" w:hanging="18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98E19F2"/>
    <w:multiLevelType w:val="multilevel"/>
    <w:tmpl w:val="C9EAA246"/>
    <w:lvl w:ilvl="0">
      <w:start w:val="1"/>
      <w:numFmt w:val="bullet"/>
      <w:lvlRestart w:val="0"/>
      <w:lvlText w:val=""/>
      <w:lvlJc w:val="left"/>
      <w:pPr>
        <w:tabs>
          <w:tab w:val="num" w:pos="360"/>
        </w:tabs>
        <w:ind w:left="360" w:hanging="360"/>
      </w:pPr>
      <w:rPr>
        <w:rFonts w:ascii="Wingdings" w:hAnsi="Wingdings" w:hint="default"/>
        <w:color w:val="0099FF"/>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2"/>
  </w:num>
  <w:num w:numId="4">
    <w:abstractNumId w:val="8"/>
  </w:num>
  <w:num w:numId="5">
    <w:abstractNumId w:val="1"/>
  </w:num>
  <w:num w:numId="6">
    <w:abstractNumId w:val="16"/>
  </w:num>
  <w:num w:numId="7">
    <w:abstractNumId w:val="3"/>
  </w:num>
  <w:num w:numId="8">
    <w:abstractNumId w:val="1"/>
  </w:num>
  <w:num w:numId="9">
    <w:abstractNumId w:val="7"/>
  </w:num>
  <w:num w:numId="10">
    <w:abstractNumId w:val="2"/>
  </w:num>
  <w:num w:numId="11">
    <w:abstractNumId w:val="10"/>
  </w:num>
  <w:num w:numId="12">
    <w:abstractNumId w:val="17"/>
  </w:num>
  <w:num w:numId="13">
    <w:abstractNumId w:val="4"/>
  </w:num>
  <w:num w:numId="14">
    <w:abstractNumId w:val="14"/>
  </w:num>
  <w:num w:numId="15">
    <w:abstractNumId w:val="15"/>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0" style="mso-position-horizontal-relative:page;mso-position-vertical-relative:page" fillcolor="white" stroke="f">
      <v:fill color="white"/>
      <v:stroke on="f"/>
      <v:textbox inset="0,0,0,0"/>
      <o:colormru v:ext="edit" colors="white,#ebebeb,#a0a0a0,#ddd,#999,#ccc,#bde9a7,#b3b3b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CTIVATED" w:val="1"/>
    <w:docVar w:name="CHKITEM" w:val="0"/>
    <w:docVar w:name="ClientLogo" w:val="C:\Users\v-dorho.000\Desktop\Notes Compete\Bilim\bilim.jpg"/>
    <w:docVar w:name="ColorHalfRGB" w:val="12632256"/>
    <w:docVar w:name="ColorName" w:val="Gray"/>
    <w:docVar w:name="ColorRGB" w:val="10526880"/>
    <w:docVar w:name="ComboBox1_ListCount" w:val="0"/>
    <w:docVar w:name="ComboBox1_ListIndex" w:val="-1"/>
    <w:docVar w:name="lbColour_0_0" w:val="Blue"/>
    <w:docVar w:name="lbColour_0_1" w:val="13147936"/>
    <w:docVar w:name="lbColour_0_2" w:val="16765585"/>
    <w:docVar w:name="lbColour_0_SELECTED" w:val="0"/>
    <w:docVar w:name="lbColour_1_0" w:val="Gray"/>
    <w:docVar w:name="lbColour_1_1" w:val="10526880"/>
    <w:docVar w:name="lbColour_1_2" w:val="12632256"/>
    <w:docVar w:name="lbColour_1_SELECTED" w:val="-1"/>
    <w:docVar w:name="lbColour_2_0" w:val="Red"/>
    <w:docVar w:name="lbColour_2_1" w:val="3614106"/>
    <w:docVar w:name="lbColour_2_2" w:val="9019391"/>
    <w:docVar w:name="lbColour_2_SELECTED" w:val="0"/>
    <w:docVar w:name="lbColour_3_0" w:val="Green"/>
    <w:docVar w:name="lbColour_3_1" w:val="6337668"/>
    <w:docVar w:name="lbColour_3_2" w:val="11004349"/>
    <w:docVar w:name="lbColour_3_SELECTED" w:val="0"/>
    <w:docVar w:name="lbColour_4_0" w:val="Yellow1"/>
    <w:docVar w:name="lbColour_4_1" w:val="2982852"/>
    <w:docVar w:name="lbColour_4_2" w:val="12632256"/>
    <w:docVar w:name="lbColour_4_SELECTED" w:val="0"/>
    <w:docVar w:name="lbColour_5_0" w:val="Yellow2"/>
    <w:docVar w:name="lbColour_5_1" w:val="1164031"/>
    <w:docVar w:name="lbColour_5_2" w:val="12632256"/>
    <w:docVar w:name="lbColour_5_SELECTED" w:val="0"/>
    <w:docVar w:name="lbColour_ListCount" w:val="6"/>
    <w:docVar w:name="lbColour_ListIndex" w:val="1"/>
    <w:docVar w:name="lbList_0_0" w:val="Microsoft Server Product Portfolio"/>
    <w:docVar w:name="lbList_0_1" w:val="Exchange Server 2007 Enterprise Edition"/>
    <w:docVar w:name="lbList_0_2" w:val="138"/>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Commerce Server"/>
    <w:docVar w:name="lbProductList_10_SELECTED" w:val="0"/>
    <w:docVar w:name="lbProductList_11_0" w:val="Communications Sector"/>
    <w:docVar w:name="lbProductList_11_SELECTED" w:val="0"/>
    <w:docVar w:name="lbProductList_12_0" w:val="Dynamics"/>
    <w:docVar w:name="lbProductList_12_SELECTED" w:val="0"/>
    <w:docVar w:name="lbProductList_13_0" w:val="Enterprise Integration"/>
    <w:docVar w:name="lbProductList_13_SELECTED" w:val="0"/>
    <w:docVar w:name="lbProductList_14_0" w:val="Exchange 2003"/>
    <w:docVar w:name="lbProductList_14_SELECTED" w:val="0"/>
    <w:docVar w:name="lbProductList_15_0" w:val="Exchange 2007"/>
    <w:docVar w:name="lbProductList_15_SELECTED" w:val="-1"/>
    <w:docVar w:name="lbProductList_16_0" w:val="Exchange 2010"/>
    <w:docVar w:name="lbProductList_16_SELECTED" w:val="0"/>
    <w:docVar w:name="lbProductList_17_0" w:val="Expression"/>
    <w:docVar w:name="lbProductList_17_SELECTED" w:val="0"/>
    <w:docVar w:name="lbProductList_18_0" w:val="Forefront"/>
    <w:docVar w:name="lbProductList_18_SELECTED" w:val="0"/>
    <w:docVar w:name="lbProductList_19_0" w:val="Groove Virtual Office"/>
    <w:docVar w:name="lbProductList_19_SELECTED" w:val="0"/>
    <w:docVar w:name="lbProductList_2_0" w:val=".NET"/>
    <w:docVar w:name="lbProductList_2_SELECTED" w:val="0"/>
    <w:docVar w:name="lbProductList_20_0" w:val="Higher Education"/>
    <w:docVar w:name="lbProductList_20_SELECTED" w:val="0"/>
    <w:docVar w:name="lbProductList_21_0" w:val="Interoperability"/>
    <w:docVar w:name="lbProductList_21_SELECTED" w:val="0"/>
    <w:docVar w:name="lbProductList_22_0" w:val="IO"/>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CSE"/>
    <w:docVar w:name="lbProductList_26_SELECTED" w:val="0"/>
    <w:docVar w:name="lbProductList_27_0" w:val="Microsoft Desktop Optimization Pack"/>
    <w:docVar w:name="lbProductList_27_SELECTED" w:val="0"/>
    <w:docVar w:name="lbProductList_28_0" w:val="Microsoft Financing"/>
    <w:docVar w:name="lbProductList_28_SELECTED" w:val="0"/>
    <w:docVar w:name="lbProductList_29_0" w:val="Microsoft Online Services"/>
    <w:docVar w:name="lbProductList_29_SELECTED" w:val="0"/>
    <w:docVar w:name="lbProductList_3_0" w:val="Basic to Standardized"/>
    <w:docVar w:name="lbProductList_3_SELECTED" w:val="0"/>
    <w:docVar w:name="lbProductList_30_0" w:val="Microsoft Server"/>
    <w:docVar w:name="lbProductList_30_SELECTED" w:val="0"/>
    <w:docVar w:name="lbProductList_31_0" w:val="Microsoft Services"/>
    <w:docVar w:name="lbProductList_31_SELECTED" w:val="0"/>
    <w:docVar w:name="lbProductList_32_0" w:val="Microsoft Surface"/>
    <w:docVar w:name="lbProductList_32_SELECTED" w:val="0"/>
    <w:docVar w:name="lbProductList_33_0" w:val="MSA"/>
    <w:docVar w:name="lbProductList_33_SELECTED" w:val="0"/>
    <w:docVar w:name="lbProductList_34_0" w:val="MSPP"/>
    <w:docVar w:name="lbProductList_34_SELECTED" w:val="0"/>
    <w:docVar w:name="lbProductList_35_0" w:val="MTC"/>
    <w:docVar w:name="lbProductList_35_SELECTED" w:val="0"/>
    <w:docVar w:name="lbProductList_36_0" w:val="Office System"/>
    <w:docVar w:name="lbProductList_36_SELECTED" w:val="0"/>
    <w:docVar w:name="lbProductList_37_0" w:val="Portals"/>
    <w:docVar w:name="lbProductList_37_SELECTED" w:val="0"/>
    <w:docVar w:name="lbProductList_38_0" w:val="Project EPM"/>
    <w:docVar w:name="lbProductList_38_SELECTED" w:val="0"/>
    <w:docVar w:name="lbProductList_39_0" w:val="Project_Six_Sigma"/>
    <w:docVar w:name="lbProductList_39_SELECTED" w:val="0"/>
    <w:docVar w:name="lbProductList_4_0" w:val="BDM Financial Services"/>
    <w:docVar w:name="lbProductList_4_SELECTED" w:val="0"/>
    <w:docVar w:name="lbProductList_40_0" w:val="Rationalized to Dynamic"/>
    <w:docVar w:name="lbProductList_40_SELECTED" w:val="0"/>
    <w:docVar w:name="lbProductList_41_0" w:val="RMS"/>
    <w:docVar w:name="lbProductList_41_SELECTED" w:val="0"/>
    <w:docVar w:name="lbProductList_42_0" w:val="SAM"/>
    <w:docVar w:name="lbProductList_42_SELECTED" w:val="0"/>
    <w:docVar w:name="lbProductList_43_0" w:val="Server Consolidation"/>
    <w:docVar w:name="lbProductList_43_SELECTED" w:val="0"/>
    <w:docVar w:name="lbProductList_44_0" w:val="Small Business Server 2003"/>
    <w:docVar w:name="lbProductList_44_SELECTED" w:val="0"/>
    <w:docVar w:name="lbProductList_45_0" w:val="SMS"/>
    <w:docVar w:name="lbProductList_45_SELECTED" w:val="0"/>
    <w:docVar w:name="lbProductList_46_0" w:val="SQL Server"/>
    <w:docVar w:name="lbProductList_46_SELECTED" w:val="0"/>
    <w:docVar w:name="lbProductList_47_0" w:val="Standardized to Rationalized"/>
    <w:docVar w:name="lbProductList_47_SELECTED" w:val="0"/>
    <w:docVar w:name="lbProductList_48_0" w:val="System Center 2007 R2"/>
    <w:docVar w:name="lbProductList_48_SELECTED" w:val="0"/>
    <w:docVar w:name="lbProductList_49_0" w:val="System Center"/>
    <w:docVar w:name="lbProductList_49_SELECTED" w:val="0"/>
    <w:docVar w:name="lbProductList_5_0" w:val="BDM Healthcare Services"/>
    <w:docVar w:name="lbProductList_5_SELECTED" w:val="0"/>
    <w:docVar w:name="lbProductList_50_0" w:val="Virtual Earth"/>
    <w:docVar w:name="lbProductList_50_SELECTED" w:val="0"/>
    <w:docVar w:name="lbProductList_51_0" w:val="Virtualization"/>
    <w:docVar w:name="lbProductList_51_SELECTED" w:val="0"/>
    <w:docVar w:name="lbProductList_52_0" w:val="Visio"/>
    <w:docVar w:name="lbProductList_52_SELECTED" w:val="0"/>
    <w:docVar w:name="lbProductList_53_0" w:val="Visual Studio"/>
    <w:docVar w:name="lbProductList_53_SELECTED" w:val="0"/>
    <w:docVar w:name="lbProductList_54_0" w:val="Volume Licensing"/>
    <w:docVar w:name="lbProductList_54_SELECTED" w:val="0"/>
    <w:docVar w:name="lbProductList_55_0" w:val="Web Platform"/>
    <w:docVar w:name="lbProductList_55_SELECTED" w:val="0"/>
    <w:docVar w:name="lbProductList_56_0" w:val="Windows Desktop Search"/>
    <w:docVar w:name="lbProductList_56_SELECTED" w:val="0"/>
    <w:docVar w:name="lbProductList_57_0" w:val="Windows Mobile"/>
    <w:docVar w:name="lbProductList_57_SELECTED" w:val="0"/>
    <w:docVar w:name="lbProductList_58_0" w:val="Windows Phone"/>
    <w:docVar w:name="lbProductList_58_SELECTED" w:val="0"/>
    <w:docVar w:name="lbProductList_59_0" w:val="Windows Server 2003 R2"/>
    <w:docVar w:name="lbProductList_59_SELECTED" w:val="0"/>
    <w:docVar w:name="lbProductList_6_0" w:val="BDM Manufacturing"/>
    <w:docVar w:name="lbProductList_6_SELECTED" w:val="0"/>
    <w:docVar w:name="lbProductList_60_0" w:val="Windows Server 2003"/>
    <w:docVar w:name="lbProductList_60_SELECTED" w:val="0"/>
    <w:docVar w:name="lbProductList_61_0" w:val="Windows Vista"/>
    <w:docVar w:name="lbProductList_61_SELECTED" w:val="0"/>
    <w:docVar w:name="lbProductList_7_0" w:val="BDM Retail"/>
    <w:docVar w:name="lbProductList_7_SELECTED" w:val="0"/>
    <w:docVar w:name="lbProductList_8_0" w:val="Biztalk"/>
    <w:docVar w:name="lbProductList_8_SELECTED" w:val="0"/>
    <w:docVar w:name="lbProductList_9_0" w:val="CMS"/>
    <w:docVar w:name="lbProductList_9_SELECTED" w:val="0"/>
    <w:docVar w:name="lbProductList_ListCount" w:val="62"/>
    <w:docVar w:name="lbProductList_ListIndex" w:val="15"/>
    <w:docVar w:name="lbProductType_0_0" w:val="Blue - Corp"/>
    <w:docVar w:name="lbProductType_0_1" w:val="Blue"/>
    <w:docVar w:name="lbProductType_0_2" w:val="Corp"/>
    <w:docVar w:name="lbProductType_0_SELECTED" w:val="0"/>
    <w:docVar w:name="lbProductType_1_0" w:val="Blue - Dynamics"/>
    <w:docVar w:name="lbProductType_1_1" w:val="Blue"/>
    <w:docVar w:name="lbProductType_1_2" w:val="Dynamics"/>
    <w:docVar w:name="lbProductType_1_SELECTED" w:val="0"/>
    <w:docVar w:name="lbProductType_10_0" w:val="Yellow - Expression"/>
    <w:docVar w:name="lbProductType_10_1" w:val="Yellow1"/>
    <w:docVar w:name="lbProductType_10_2" w:val="Yellow1"/>
    <w:docVar w:name="lbProductType_10_SELECTED" w:val="0"/>
    <w:docVar w:name="lbProductType_11_0" w:val="Yellow - Phone"/>
    <w:docVar w:name="lbProductType_11_1" w:val="Yellow2"/>
    <w:docVar w:name="lbProductType_11_2" w:val="Yellow2"/>
    <w:docVar w:name="lbProductType_11_SELECTED" w:val="0"/>
    <w:docVar w:name="lbProductType_2_0" w:val="Blue - NET"/>
    <w:docVar w:name="lbProductType_2_1" w:val="Blue"/>
    <w:docVar w:name="lbProductType_2_2" w:val="Net"/>
    <w:docVar w:name="lbProductType_2_SELECTED" w:val="0"/>
    <w:docVar w:name="lbProductType_3_0" w:val="Blue - Services"/>
    <w:docVar w:name="lbProductType_3_1" w:val="Blue"/>
    <w:docVar w:name="lbProductType_3_2" w:val="Corp"/>
    <w:docVar w:name="lbProductType_3_SELECTED" w:val="0"/>
    <w:docVar w:name="lbProductType_4_0" w:val="Blue - Windows"/>
    <w:docVar w:name="lbProductType_4_1" w:val="Blue"/>
    <w:docVar w:name="lbProductType_4_2" w:val="WinGeneric"/>
    <w:docVar w:name="lbProductType_4_SELECTED" w:val="0"/>
    <w:docVar w:name="lbProductType_5_0" w:val="Gray - Servers"/>
    <w:docVar w:name="lbProductType_5_1" w:val="Gray"/>
    <w:docVar w:name="lbProductType_5_2" w:val="Server"/>
    <w:docVar w:name="lbProductType_5_SELECTED" w:val="-1"/>
    <w:docVar w:name="lbProductType_6_0" w:val="Red - Office"/>
    <w:docVar w:name="lbProductType_6_1" w:val="Red"/>
    <w:docVar w:name="lbProductType_6_2" w:val="Office"/>
    <w:docVar w:name="lbProductType_6_SELECTED" w:val="0"/>
    <w:docVar w:name="lbProductType_7_0" w:val="Red - Surface"/>
    <w:docVar w:name="lbProductType_7_1" w:val="Red"/>
    <w:docVar w:name="lbProductType_7_2" w:val="Red"/>
    <w:docVar w:name="lbProductType_7_SELECTED" w:val="0"/>
    <w:docVar w:name="lbProductType_8_0" w:val="Red - MSPP"/>
    <w:docVar w:name="lbProductType_8_1" w:val="Red"/>
    <w:docVar w:name="lbProductType_8_2" w:val="Red"/>
    <w:docVar w:name="lbProductType_8_SELECTED" w:val="0"/>
    <w:docVar w:name="lbProductType_9_0" w:val="Green - Dev"/>
    <w:docVar w:name="lbProductType_9_1" w:val="Green"/>
    <w:docVar w:name="lbProductType_9_2" w:val="Green"/>
    <w:docVar w:name="lbProductType_9_SELECTED" w:val="0"/>
    <w:docVar w:name="lbProductType_ListCount" w:val="12"/>
    <w:docVar w:name="lbProductType_ListIndex" w:val="5"/>
    <w:docVar w:name="PartnerLogo" w:val="C:\Users\v-dorho.000\Desktop\Notes Compete\Bilim\telcoset_logo.gif"/>
    <w:docVar w:name="RERUN" w:val="1"/>
    <w:docVar w:name="tbCustomerName" w:val="Bilim Ilac Inc."/>
    <w:docVar w:name="tbCustomerPhone" w:val="90 212 365 15 00"/>
    <w:docVar w:name="tbCustomerURL" w:val="http://www.bilimilac.com.tr"/>
    <w:docVar w:name="tbDatePublished" w:val="February 2010"/>
    <w:docVar w:name="tbDisclaimer1" w:val="This case study is for informational purposes only. MICROSOFT MAKES NO WARRANTIES, EXPRESS OR IMPLIED, IN THIS SUMMARY."/>
    <w:docVar w:name="tbDocumentBenefits" w:val="Central Management_x000d__x000a_Bilim Ilac can now manage user accounts under Active Directory, which allows automatic creation of email and portal accounts when a new user account is created. In addition, the Single Sign-On feature centralizes user authorizations._x000d__x000a__x000d__x000a_IT Manager Yigin said: “The primary benefit of our new system is Single Sign-On authorization because we use many applications besides email that require authorization. With the new system, our users don’t need to remember and enter multiple passwords to use their applications.”_x000d__x000a__x000d__x000a_Telcoset’s Erturk said that when a password change was needed with the old messaging platform, the passwords of both system and email accounts needed to be changed separately. Exchange Server, on the other hand, allows centralized password management, saving time for both HR and IT departments. Managing user accounts used to take 1 man-month for 2,100 users, but since most of the work is automatic now, the Microsoft system has saved 1 man-month for Bilim Ilac, said Erturk._x000d__x000a__x000d__x000a_Improved Integration_x000d__x000a_Microsoft-native applications are easily integrated under Active Directory, while non-Microsoft applications needed separate connectors to be written, said Erturk. It is also easier to find and debug software errors with Microsoft-native applications. _x000d__x000a__x000d__x000a_“With a non-Microsoft messaging platform, the businesses usually need to hire additional experts specialized on that platform,” he said. “Now Bilim Ilac has an end-to-end Microsoft platform, even an Active Directory administrator can support Microsoft Exchange Server.”_x000d__x000a__x000d__x000a_Cost Savings_x000d__x000a_Bilim Ilac’s IT Manager Yigin said: “With the Enterprise Agreement, all Microsoft solutions, including Microsoft Exchange Server 2007, are available to us with a better total cost of ownership. If we would have continued to use the previous messaging platform, we would be paying licensing fees for it. In this respect, Microsoft solutions offer us a cost advantage.”_x000d__x000a__x000d__x000a_Improved User Satisfaction, Efficiency_x000d__x000a_Bilim Ilac employees are now able to access the messaging system and their emails remotely. Tur said, “Exchange Server also allows users to share files securely, without need for a file server.”_x000d__x000a__x000d__x000a_IT Manager Yigin said, “With Microsoft Exchange Server and Microsoft Outlook features such as OWA, OMA and Outlook Anywhere, our users can have access to their messages anywhere, anytime. With Active Directory Single Sign-On, on the other hand, they don’t need to remember multiple passwords. All these features help increase productivity of our users.”_x000d__x000a__x000d__x000a_Bilim Ilac’s field teams also gained enterprise email addresses instead of private ones, immediately upgrading the professional image of the company. _x000d__x000a__x000d__x000a_It was hard for employees to adapt to the previous messaging client. But as most were already familiar with Microsoft applications, many have started using the more user-friendly programs._x000d__x000a__x000d__x000a_Tur said: “They needed to develop two sets of habits when working with both Microsoft Office applications and the previous messaging client. Besides, integration between Microsoft Office applications and the previous messaging client was limited and not a native one._x000d__x000a__x000d__x000a_“In particular, our users noted that they are extremely satisfied with Microsoft Outlook features such as Office Assistant, Calendar, Contacts, and Tasks.”_x000d__x000a__x000d__x000a_Improved Data and Access Security_x000d__x000a_Instead of Web-based emails, field teams now enjoy the secure communication offered by the enterprise messaging system. _x000d__x000a__x000d__x000a_Bilim Ilac alsp plans to use Exchange Server 2010’s Archiving feature for its regular back-ups. Tur said: “With Exchange Server 2010, we will be able to back up and archive all our Exchange data, without additional cost of a third-party software.”"/>
    <w:docVar w:name="tbDocumentFirstPageBody" w:val="TEST TEST TEST "/>
    <w:docVar w:name="tbDocumentIntroduction" w:val="&quot;Our field teams were not included in our legacy messaging system because it was a difficult and time-consuming task to integrate that messaging system into Active Directory.&quot;"/>
    <w:docVar w:name="tbDocumentIntroductionCredit" w:val="Umut Tur, System Support Manager, Bilim Ilac"/>
    <w:docVar w:name="tbDocumentSituation" w:val="Integration Woes_x000d__x000a_Founded in 1953 as a pharmaceutical laboratory, Bilim Ilac Inc. is now Turkey’s third largest pharmaceutical company in box sales, and fourth in turnover, exporting to 42 countries around the world._x000d__x000a_ _x000d__x000a_Bilim Ilac used a WAN for communication between its Head Office, production facilities, and regional directorates. The company managed its IT infrastructure with Microsoft Windows servers and Active Directory._x000d__x000a__x000d__x000a_Until 2006, Bilim Ilac’s field teams were using PDAs and a mobile Customer Relationship Management (CRM) solution to keep track of customers._x000d__x000a__x000d__x000a_In 2006, the company replaced PDAs with laptops. But field service representatives still did not have access to an enterprise-level email system, while users in the production facilities and regional directorates were connecting to a mail server in the Head Office. _x000d__x000a__x000d__x000a_“Although generating most of the company’s email traffic, medical promotion teams and sales representatives working in the field were not integrated into our messaging system,” said Jale Yigin, IT Manager at Bilim Ilac Inc. “They didn’t have email addresses defined under BilimIlac.com.tr domain, so they were simply using generic Web-based email services, or they could only communicate when they visited regional offices.”_x000d__x000a__x000d__x000a_Although the vendor of the legacy messaging system offered a cross-platform tool, Umut Tur, Bilim Ilac’s System Support Manager, said: “Our field teams were not included in our legacy messaging system because it was a difficult and time-consuming task to integrate that messaging system into Active Directory. _x000d__x000a__x000d__x000a_“Besides, message synchronization was problematic. We needed an enterprise-level messaging system that runs fully integrated with Active Directory to include field teams into the system.”_x000d__x000a__x000d__x000a_Lack Of Central Management_x000d__x000a_In 2006, when the company implemented an enterprise portal, it required new user account definitions and user account cancellations for different applications._x000d__x000a__x000d__x000a_It was evident that Bilim Ilac needed central management of all user accounts and password changes to better manage accounts and to improve users’ access to applications and messaging."/>
    <w:docVar w:name="tbDocumentSolution" w:val="Bilim Ilac was already familiar with the advantages of Microsoft’s communication technologies, as it partially used Microsoft Exchange Server and Microsoft Outlook in its offices. It wanted to offer all its users the familiar interface of Outlook._x000d__x000a__x000d__x000a_Bilim Ilac looked to Microsoft Gold Certified Partner Telcoset Ileri Teknolojileri Inc. to implement the project, which started in August 2007._x000d__x000a__x000d__x000a_Fatih Erturk, System Support Manager of Telcoset, said that the implementation was planned in two phases._x000d__x000a__x000d__x000a_“During the first phase, the user list was determined and the servers were installed,” he said. “In addition, we defined field users under Bilimilac.com.tr domain, assigned an enterprise email address to each user, and ensured that they can have access to their accounts via Outlook Web Access, even when there is no stand-alone email client installed on their computers.”_x000d__x000a__x000d__x000a_During the second phase, Telcoset used Microsoft System Center Configuration Manager (SCCM) to deploy Microsoft Outlook for 600 users. SCMM scripts were used to prevent any configuration mistakes and to ensure a seamless migration, said Erturk._x000d__x000a__x000d__x000a_Telcoset completed the project, which included a Microsoft Outlook user training program, in just two months, successfully migrating Bilim Ilac’s entire messaging platform to Microsoft Exchange by September 2007. _x000d__x000a__x000d__x000a_During the process, the user groups defined under the legacy system were re-checked, unused groups were deleted, and new groups were created based on the organizational structure, departmental needs, and authorization requirements._x000d__x000a__x000d__x000a_Thanks to the full integration between Active Directory and Exchange Server, new users were automatically included in the relevant groups as soon as they were defined under Active Directory._x000d__x000a__x000d__x000a_As part of the project, OWA, OMA, and Outlook Anywhere features were also implemented to ensure that users could access their messages anytime, anywhere. _x000d__x000a__x000d__x000a_Erturk noted: “With the previous messaging application, it could have been possible to implement a Single Sign-On system, but it would need a third-party or custom application that runs through a connector, and such connectors don’t always work efficiently, creating connection problems. Considering the potential problems, we opted for a fully integrated system from a single vendor.”_x000d__x000a_Erturk said: “Microsoft Exchange Server 2007 also integrates with Microsoft Office Communications Server 2007, so the email, telephony, and voice messaging systems can converge. It was one of the reasons underlying Bilim Ilac’s preference for Exchange Server 2007, and currently we are in the process of implementing an Office Communications Server 2007 project.”_x000d__x000a_Bilim Ilac is planning to implement Microsoft’s new security solutions._x000d__x000a__x000d__x000a_Bilim Ilac’s System Support Manager Tur said that its employees would benefit from Microsoft Forefront, Microsoft Unified Access Gateway, and Microsoft Threat Management Gateway from January 2010._x000d__x000a_“In addition, we will upgrade to Microsoft Exchange Server 2010, again at the beginning of 2010,” he said."/>
    <w:docVar w:name="tbDocumentTitle" w:val="Turkish Pharmaceutical Manufacturer Improves Integration With Exchange Server"/>
    <w:docVar w:name="tbOverviewBenefits1" w:val="TES"/>
    <w:docVar w:name="tbOverviewBenefits2" w:val="TEST"/>
    <w:docVar w:name="tbOverviewBenefits3" w:val="TEST"/>
    <w:docVar w:name="tbOverviewBusinessSituation" w:val="TEST"/>
    <w:docVar w:name="tbOverviewCountry" w:val="Turkey"/>
    <w:docVar w:name="tbOverviewCustomerProfile" w:val="TEST"/>
    <w:docVar w:name="tbOverviewIndustry" w:val="Pharmaceuticals "/>
    <w:docVar w:name="tbOverviewSolution" w:val="TEST"/>
    <w:docVar w:name="tbPartnerName" w:val="Telcoset Ileri Teknolojileri Inc."/>
    <w:docVar w:name="tbPartnerPhone" w:val="90 212 337 01 01"/>
    <w:docVar w:name="tbPartnerURL" w:val="http://www.telcoset.com.tr"/>
    <w:docVar w:name="tbProductBoilerplateText" w:val="For more information about the Microsoft server product portfolio, go to:_x000d__x000a_www.microsoft.com/servers/default.mspx_x000d__x000a__x000d__x000a_For more information about Microsoft Exchange Server, go to:_x000d__x000a_www.microsoft.com/exchange _x000d__x000a_"/>
    <w:docVar w:name="tbProductBoilerplateTitle" w:val="Microsoft Server Product Portfolio"/>
    <w:docVar w:name="tbProductTitle" w:val="Microsoft Exchange Server 2007_x000d__x000a_Customer Solution Case Study"/>
  </w:docVars>
  <w:rsids>
    <w:rsidRoot w:val="00E30157"/>
    <w:rsid w:val="000006E8"/>
    <w:rsid w:val="00010515"/>
    <w:rsid w:val="000165AA"/>
    <w:rsid w:val="00026534"/>
    <w:rsid w:val="0002716A"/>
    <w:rsid w:val="00056AA8"/>
    <w:rsid w:val="00056E78"/>
    <w:rsid w:val="00096915"/>
    <w:rsid w:val="000974C1"/>
    <w:rsid w:val="000B3311"/>
    <w:rsid w:val="000C2BD0"/>
    <w:rsid w:val="000C627C"/>
    <w:rsid w:val="000E56E4"/>
    <w:rsid w:val="000F667A"/>
    <w:rsid w:val="001339A1"/>
    <w:rsid w:val="00146246"/>
    <w:rsid w:val="0016026D"/>
    <w:rsid w:val="001665E6"/>
    <w:rsid w:val="001A74AB"/>
    <w:rsid w:val="001B5849"/>
    <w:rsid w:val="001C2AED"/>
    <w:rsid w:val="001D31A3"/>
    <w:rsid w:val="001E0140"/>
    <w:rsid w:val="001E6846"/>
    <w:rsid w:val="001F1C94"/>
    <w:rsid w:val="00202E69"/>
    <w:rsid w:val="00247CF6"/>
    <w:rsid w:val="00247E42"/>
    <w:rsid w:val="0025550E"/>
    <w:rsid w:val="002734CF"/>
    <w:rsid w:val="00280C82"/>
    <w:rsid w:val="00283CE9"/>
    <w:rsid w:val="00290BBC"/>
    <w:rsid w:val="00294CBB"/>
    <w:rsid w:val="002A12D4"/>
    <w:rsid w:val="002A36E0"/>
    <w:rsid w:val="002A4E7A"/>
    <w:rsid w:val="002E40AA"/>
    <w:rsid w:val="002F19BE"/>
    <w:rsid w:val="003119F1"/>
    <w:rsid w:val="00316BF4"/>
    <w:rsid w:val="003470BE"/>
    <w:rsid w:val="0034716D"/>
    <w:rsid w:val="00351DE1"/>
    <w:rsid w:val="00353863"/>
    <w:rsid w:val="00361497"/>
    <w:rsid w:val="00377E0D"/>
    <w:rsid w:val="003A296B"/>
    <w:rsid w:val="003C1AF7"/>
    <w:rsid w:val="003C4089"/>
    <w:rsid w:val="003C75B4"/>
    <w:rsid w:val="003D18FD"/>
    <w:rsid w:val="003E15BE"/>
    <w:rsid w:val="0040256D"/>
    <w:rsid w:val="00402A7C"/>
    <w:rsid w:val="00406277"/>
    <w:rsid w:val="00417689"/>
    <w:rsid w:val="00426248"/>
    <w:rsid w:val="00426D0A"/>
    <w:rsid w:val="00435710"/>
    <w:rsid w:val="00445891"/>
    <w:rsid w:val="004804EA"/>
    <w:rsid w:val="004A5847"/>
    <w:rsid w:val="004A7509"/>
    <w:rsid w:val="004D4387"/>
    <w:rsid w:val="004D4A60"/>
    <w:rsid w:val="00500DAB"/>
    <w:rsid w:val="00525B6F"/>
    <w:rsid w:val="005370B2"/>
    <w:rsid w:val="005522C0"/>
    <w:rsid w:val="00561B5A"/>
    <w:rsid w:val="00573B55"/>
    <w:rsid w:val="005746CA"/>
    <w:rsid w:val="00577C88"/>
    <w:rsid w:val="00587989"/>
    <w:rsid w:val="005C01B3"/>
    <w:rsid w:val="005D42E5"/>
    <w:rsid w:val="005E42F3"/>
    <w:rsid w:val="005E49C0"/>
    <w:rsid w:val="005E5B8A"/>
    <w:rsid w:val="005F4C75"/>
    <w:rsid w:val="006439E8"/>
    <w:rsid w:val="0065016F"/>
    <w:rsid w:val="006566C6"/>
    <w:rsid w:val="006824E0"/>
    <w:rsid w:val="00694A29"/>
    <w:rsid w:val="006E5542"/>
    <w:rsid w:val="006F7055"/>
    <w:rsid w:val="007123A6"/>
    <w:rsid w:val="00726138"/>
    <w:rsid w:val="007313E0"/>
    <w:rsid w:val="007660E8"/>
    <w:rsid w:val="0077065E"/>
    <w:rsid w:val="007871B1"/>
    <w:rsid w:val="007A4F51"/>
    <w:rsid w:val="007A75EB"/>
    <w:rsid w:val="007F68DC"/>
    <w:rsid w:val="007F6FDE"/>
    <w:rsid w:val="008024B2"/>
    <w:rsid w:val="00813109"/>
    <w:rsid w:val="00813FEE"/>
    <w:rsid w:val="0083331E"/>
    <w:rsid w:val="00847D42"/>
    <w:rsid w:val="0086399B"/>
    <w:rsid w:val="008657EB"/>
    <w:rsid w:val="00885D31"/>
    <w:rsid w:val="00891092"/>
    <w:rsid w:val="00892945"/>
    <w:rsid w:val="008A66C3"/>
    <w:rsid w:val="008B5CB7"/>
    <w:rsid w:val="008D79B8"/>
    <w:rsid w:val="008E35E9"/>
    <w:rsid w:val="008F2775"/>
    <w:rsid w:val="00903CEB"/>
    <w:rsid w:val="009367C4"/>
    <w:rsid w:val="0095051D"/>
    <w:rsid w:val="00952BBD"/>
    <w:rsid w:val="009534CB"/>
    <w:rsid w:val="00957AA2"/>
    <w:rsid w:val="00971129"/>
    <w:rsid w:val="00980C42"/>
    <w:rsid w:val="00984970"/>
    <w:rsid w:val="009A3B28"/>
    <w:rsid w:val="009A54A9"/>
    <w:rsid w:val="009B4FFB"/>
    <w:rsid w:val="009C07F2"/>
    <w:rsid w:val="009C249D"/>
    <w:rsid w:val="009C7FB0"/>
    <w:rsid w:val="009D799C"/>
    <w:rsid w:val="009E67DC"/>
    <w:rsid w:val="009F6063"/>
    <w:rsid w:val="00A1096F"/>
    <w:rsid w:val="00A20283"/>
    <w:rsid w:val="00A46D64"/>
    <w:rsid w:val="00A804C4"/>
    <w:rsid w:val="00A90F98"/>
    <w:rsid w:val="00A95AEB"/>
    <w:rsid w:val="00AA29C5"/>
    <w:rsid w:val="00AB00C8"/>
    <w:rsid w:val="00AB44D2"/>
    <w:rsid w:val="00AB4CB2"/>
    <w:rsid w:val="00AC5879"/>
    <w:rsid w:val="00B53E6D"/>
    <w:rsid w:val="00B73B29"/>
    <w:rsid w:val="00B75B95"/>
    <w:rsid w:val="00B82438"/>
    <w:rsid w:val="00B834F3"/>
    <w:rsid w:val="00B92AD9"/>
    <w:rsid w:val="00BB5F7F"/>
    <w:rsid w:val="00BB6290"/>
    <w:rsid w:val="00BD5588"/>
    <w:rsid w:val="00BE2496"/>
    <w:rsid w:val="00BE5DDE"/>
    <w:rsid w:val="00BE7613"/>
    <w:rsid w:val="00BF1F92"/>
    <w:rsid w:val="00C03D86"/>
    <w:rsid w:val="00C04668"/>
    <w:rsid w:val="00C40E49"/>
    <w:rsid w:val="00C45092"/>
    <w:rsid w:val="00C46375"/>
    <w:rsid w:val="00C46620"/>
    <w:rsid w:val="00C4702D"/>
    <w:rsid w:val="00C509E8"/>
    <w:rsid w:val="00C51D62"/>
    <w:rsid w:val="00C70E2E"/>
    <w:rsid w:val="00C81C9D"/>
    <w:rsid w:val="00C87560"/>
    <w:rsid w:val="00CB6390"/>
    <w:rsid w:val="00CC276E"/>
    <w:rsid w:val="00CC3ECC"/>
    <w:rsid w:val="00CC41AB"/>
    <w:rsid w:val="00CC605A"/>
    <w:rsid w:val="00D02BD9"/>
    <w:rsid w:val="00D054D4"/>
    <w:rsid w:val="00D078D6"/>
    <w:rsid w:val="00D14A43"/>
    <w:rsid w:val="00D2749E"/>
    <w:rsid w:val="00D470B2"/>
    <w:rsid w:val="00D633D4"/>
    <w:rsid w:val="00D66A90"/>
    <w:rsid w:val="00D77710"/>
    <w:rsid w:val="00DF030C"/>
    <w:rsid w:val="00DF42A4"/>
    <w:rsid w:val="00DF69C1"/>
    <w:rsid w:val="00E14487"/>
    <w:rsid w:val="00E2005C"/>
    <w:rsid w:val="00E30157"/>
    <w:rsid w:val="00E34A7E"/>
    <w:rsid w:val="00E428D1"/>
    <w:rsid w:val="00E43550"/>
    <w:rsid w:val="00E810A2"/>
    <w:rsid w:val="00E814AC"/>
    <w:rsid w:val="00EC056E"/>
    <w:rsid w:val="00EC2090"/>
    <w:rsid w:val="00EC3DB7"/>
    <w:rsid w:val="00ED6BB9"/>
    <w:rsid w:val="00EE2FFD"/>
    <w:rsid w:val="00EE6240"/>
    <w:rsid w:val="00EE7C69"/>
    <w:rsid w:val="00EF7A8A"/>
    <w:rsid w:val="00F07BF1"/>
    <w:rsid w:val="00F11464"/>
    <w:rsid w:val="00F168BA"/>
    <w:rsid w:val="00F45A31"/>
    <w:rsid w:val="00F45B7B"/>
    <w:rsid w:val="00F54DC3"/>
    <w:rsid w:val="00F57D23"/>
    <w:rsid w:val="00F640F6"/>
    <w:rsid w:val="00F76845"/>
    <w:rsid w:val="00F77454"/>
    <w:rsid w:val="00F838E1"/>
    <w:rsid w:val="00F844DF"/>
    <w:rsid w:val="00FB1080"/>
    <w:rsid w:val="00FC245E"/>
    <w:rsid w:val="00FE17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style="mso-position-horizontal-relative:page;mso-position-vertical-relative:page" fillcolor="white" stroke="f">
      <v:fill color="white"/>
      <v:stroke on="f"/>
      <v:textbox inset="0,0,0,0"/>
      <o:colormru v:ext="edit" colors="white,#ebebeb,#a0a0a0,#ddd,#999,#ccc,#bde9a7,#b3b3b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val="en-GB"/>
    </w:rPr>
  </w:style>
  <w:style w:type="paragraph" w:styleId="Heading1">
    <w:name w:val="heading 1"/>
    <w:basedOn w:val="Normal"/>
    <w:next w:val="Normal"/>
    <w:qFormat/>
    <w:rsid w:val="00361497"/>
    <w:pPr>
      <w:keepNext/>
      <w:spacing w:before="240" w:after="60"/>
      <w:jc w:val="both"/>
      <w:outlineLvl w:val="0"/>
    </w:pPr>
    <w:rPr>
      <w:b/>
      <w:kern w:val="28"/>
      <w:sz w:val="28"/>
      <w:szCs w:val="20"/>
      <w:lang w:bidi="he-IL"/>
    </w:rPr>
  </w:style>
  <w:style w:type="paragraph" w:styleId="Heading2">
    <w:name w:val="heading 2"/>
    <w:basedOn w:val="Heading1"/>
    <w:next w:val="Normal"/>
    <w:qFormat/>
    <w:rsid w:val="00361497"/>
    <w:pPr>
      <w:tabs>
        <w:tab w:val="num" w:pos="1440"/>
      </w:tabs>
      <w:spacing w:after="240"/>
      <w:ind w:left="1440" w:hanging="720"/>
      <w:jc w:val="left"/>
      <w:outlineLvl w:val="1"/>
    </w:pPr>
    <w:rPr>
      <w:kern w:val="0"/>
      <w:sz w:val="26"/>
    </w:rPr>
  </w:style>
  <w:style w:type="paragraph" w:styleId="Heading3">
    <w:name w:val="heading 3"/>
    <w:basedOn w:val="Normal"/>
    <w:next w:val="Normal"/>
    <w:qFormat/>
    <w:rsid w:val="00361497"/>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rsid w:val="00361497"/>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361497"/>
    <w:pPr>
      <w:ind w:left="1134"/>
    </w:pPr>
    <w:rPr>
      <w:sz w:val="20"/>
    </w:rPr>
  </w:style>
  <w:style w:type="paragraph" w:styleId="Footer">
    <w:name w:val="footer"/>
    <w:basedOn w:val="Normal"/>
    <w:rsid w:val="00361497"/>
    <w:pPr>
      <w:tabs>
        <w:tab w:val="center" w:pos="4153"/>
        <w:tab w:val="right" w:pos="8306"/>
      </w:tabs>
    </w:pPr>
  </w:style>
  <w:style w:type="paragraph" w:styleId="Header">
    <w:name w:val="header"/>
    <w:basedOn w:val="Normal"/>
    <w:rsid w:val="00361497"/>
    <w:pPr>
      <w:tabs>
        <w:tab w:val="center" w:pos="4153"/>
        <w:tab w:val="right" w:pos="8306"/>
      </w:tabs>
      <w:jc w:val="both"/>
    </w:pPr>
    <w:rPr>
      <w:sz w:val="16"/>
      <w:szCs w:val="20"/>
      <w:lang w:bidi="he-IL"/>
    </w:rPr>
  </w:style>
  <w:style w:type="paragraph" w:styleId="EnvelopeReturn">
    <w:name w:val="envelope return"/>
    <w:basedOn w:val="Normal"/>
    <w:rsid w:val="00361497"/>
    <w:rPr>
      <w:i/>
      <w:sz w:val="48"/>
      <w:szCs w:val="48"/>
    </w:rPr>
  </w:style>
  <w:style w:type="paragraph" w:styleId="CommentText">
    <w:name w:val="annotation text"/>
    <w:basedOn w:val="Normal"/>
    <w:link w:val="CommentTextChar"/>
    <w:semiHidden/>
    <w:rsid w:val="00361497"/>
    <w:rPr>
      <w:sz w:val="24"/>
    </w:rPr>
  </w:style>
  <w:style w:type="paragraph" w:customStyle="1" w:styleId="Answer">
    <w:name w:val="Answer"/>
    <w:basedOn w:val="Normal"/>
    <w:next w:val="Question"/>
    <w:rsid w:val="00361497"/>
    <w:pPr>
      <w:numPr>
        <w:numId w:val="3"/>
      </w:numPr>
    </w:pPr>
    <w:rPr>
      <w:i/>
    </w:rPr>
  </w:style>
  <w:style w:type="paragraph" w:customStyle="1" w:styleId="Question">
    <w:name w:val="Question"/>
    <w:basedOn w:val="Normal"/>
    <w:next w:val="Answer"/>
    <w:rsid w:val="00361497"/>
    <w:pPr>
      <w:numPr>
        <w:numId w:val="2"/>
      </w:numPr>
    </w:pPr>
  </w:style>
  <w:style w:type="paragraph" w:customStyle="1" w:styleId="Bodycopy">
    <w:name w:val="Body copy"/>
    <w:basedOn w:val="Normal"/>
    <w:rsid w:val="008D79B8"/>
    <w:pPr>
      <w:spacing w:line="240" w:lineRule="exact"/>
    </w:pPr>
    <w:rPr>
      <w:color w:val="323232"/>
      <w:lang w:val="en-US"/>
    </w:rPr>
  </w:style>
  <w:style w:type="paragraph" w:customStyle="1" w:styleId="SectionHeading">
    <w:name w:val="Section Heading"/>
    <w:basedOn w:val="ColoredText"/>
    <w:next w:val="Bodycopy"/>
    <w:rsid w:val="008657EB"/>
    <w:pPr>
      <w:keepNext/>
    </w:pPr>
    <w:rPr>
      <w:color w:val="000000"/>
      <w:sz w:val="24"/>
    </w:rPr>
  </w:style>
  <w:style w:type="paragraph" w:customStyle="1" w:styleId="Subject">
    <w:name w:val="Subject"/>
    <w:basedOn w:val="Normal"/>
    <w:rsid w:val="00361497"/>
    <w:pPr>
      <w:jc w:val="center"/>
    </w:pPr>
    <w:rPr>
      <w:b/>
      <w:sz w:val="32"/>
      <w:u w:val="single"/>
    </w:rPr>
  </w:style>
  <w:style w:type="paragraph" w:styleId="PlainText">
    <w:name w:val="Plain Text"/>
    <w:basedOn w:val="Normal"/>
    <w:rsid w:val="00361497"/>
    <w:rPr>
      <w:sz w:val="22"/>
    </w:rPr>
  </w:style>
  <w:style w:type="paragraph" w:customStyle="1" w:styleId="MergedAnswer">
    <w:name w:val="MergedAnswer"/>
    <w:basedOn w:val="Normal"/>
    <w:rsid w:val="00361497"/>
  </w:style>
  <w:style w:type="paragraph" w:styleId="TOC2">
    <w:name w:val="toc 2"/>
    <w:basedOn w:val="Normal"/>
    <w:next w:val="Normal"/>
    <w:autoRedefine/>
    <w:semiHidden/>
    <w:rsid w:val="00361497"/>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rsid w:val="00361497"/>
    <w:pPr>
      <w:spacing w:after="10" w:line="240" w:lineRule="auto"/>
    </w:pPr>
    <w:rPr>
      <w:bCs/>
      <w:sz w:val="32"/>
    </w:rPr>
  </w:style>
  <w:style w:type="paragraph" w:customStyle="1" w:styleId="WHITEPAPER">
    <w:name w:val="WHITE PAPER"/>
    <w:basedOn w:val="ColoredText"/>
    <w:rsid w:val="00361497"/>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8D79B8"/>
    <w:pPr>
      <w:numPr>
        <w:numId w:val="10"/>
      </w:numPr>
      <w:tabs>
        <w:tab w:val="clear" w:pos="360"/>
        <w:tab w:val="left" w:pos="170"/>
      </w:tabs>
      <w:spacing w:line="240" w:lineRule="exact"/>
      <w:ind w:left="181" w:hanging="181"/>
    </w:pPr>
    <w:rPr>
      <w:rFonts w:ascii="Segoe UI" w:hAnsi="Segoe UI" w:cs="Segoe UI"/>
      <w:color w:val="323232"/>
      <w:sz w:val="17"/>
      <w:szCs w:val="17"/>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sid w:val="00361497"/>
    <w:rPr>
      <w:sz w:val="19"/>
    </w:rPr>
  </w:style>
  <w:style w:type="paragraph" w:styleId="TOC1">
    <w:name w:val="toc 1"/>
    <w:basedOn w:val="Normal"/>
    <w:next w:val="Normal"/>
    <w:semiHidden/>
    <w:rsid w:val="00361497"/>
    <w:pPr>
      <w:tabs>
        <w:tab w:val="right" w:pos="3289"/>
      </w:tabs>
      <w:spacing w:line="360" w:lineRule="exact"/>
    </w:pPr>
    <w:rPr>
      <w:noProof/>
      <w:color w:val="FFFFFF"/>
      <w:sz w:val="24"/>
    </w:rPr>
  </w:style>
  <w:style w:type="paragraph" w:styleId="TOC3">
    <w:name w:val="toc 3"/>
    <w:basedOn w:val="Normal"/>
    <w:next w:val="Normal"/>
    <w:autoRedefine/>
    <w:semiHidden/>
    <w:rsid w:val="00361497"/>
    <w:pPr>
      <w:ind w:left="440"/>
    </w:pPr>
  </w:style>
  <w:style w:type="paragraph" w:styleId="TOC4">
    <w:name w:val="toc 4"/>
    <w:basedOn w:val="Normal"/>
    <w:next w:val="Normal"/>
    <w:autoRedefine/>
    <w:semiHidden/>
    <w:rsid w:val="00361497"/>
    <w:pPr>
      <w:ind w:left="660"/>
    </w:pPr>
  </w:style>
  <w:style w:type="paragraph" w:styleId="TOC5">
    <w:name w:val="toc 5"/>
    <w:basedOn w:val="Normal"/>
    <w:next w:val="Normal"/>
    <w:autoRedefine/>
    <w:semiHidden/>
    <w:rsid w:val="00361497"/>
    <w:pPr>
      <w:ind w:left="880"/>
    </w:pPr>
  </w:style>
  <w:style w:type="paragraph" w:styleId="TOC6">
    <w:name w:val="toc 6"/>
    <w:basedOn w:val="Normal"/>
    <w:next w:val="Normal"/>
    <w:autoRedefine/>
    <w:semiHidden/>
    <w:rsid w:val="00361497"/>
    <w:pPr>
      <w:ind w:left="1100"/>
    </w:pPr>
  </w:style>
  <w:style w:type="paragraph" w:styleId="TOC7">
    <w:name w:val="toc 7"/>
    <w:basedOn w:val="Normal"/>
    <w:next w:val="Normal"/>
    <w:autoRedefine/>
    <w:semiHidden/>
    <w:rsid w:val="00361497"/>
    <w:pPr>
      <w:ind w:left="1320"/>
    </w:pPr>
  </w:style>
  <w:style w:type="paragraph" w:styleId="TOC8">
    <w:name w:val="toc 8"/>
    <w:basedOn w:val="Normal"/>
    <w:next w:val="Normal"/>
    <w:autoRedefine/>
    <w:semiHidden/>
    <w:rsid w:val="00361497"/>
    <w:pPr>
      <w:ind w:left="1540"/>
    </w:pPr>
  </w:style>
  <w:style w:type="paragraph" w:styleId="TOC9">
    <w:name w:val="toc 9"/>
    <w:basedOn w:val="Normal"/>
    <w:next w:val="Normal"/>
    <w:autoRedefine/>
    <w:semiHidden/>
    <w:rsid w:val="00361497"/>
    <w:pPr>
      <w:ind w:left="1760"/>
    </w:pPr>
  </w:style>
  <w:style w:type="character" w:styleId="Hyperlink">
    <w:name w:val="Hyperlink"/>
    <w:basedOn w:val="DefaultParagraphFont"/>
    <w:rsid w:val="00C03D86"/>
    <w:rPr>
      <w:rFonts w:ascii="Segoe UI" w:hAnsi="Segoe UI" w:cs="Segoe UI"/>
      <w:color w:val="209FC8"/>
      <w:u w:val="single"/>
    </w:rPr>
  </w:style>
  <w:style w:type="paragraph" w:customStyle="1" w:styleId="AutoCorrect">
    <w:name w:val="AutoCorrect"/>
    <w:rsid w:val="00361497"/>
    <w:rPr>
      <w:rFonts w:ascii="Segoe UI" w:hAnsi="Segoe UI" w:cs="Segoe UI"/>
      <w:lang w:val="en-GB" w:bidi="he-IL"/>
    </w:rPr>
  </w:style>
  <w:style w:type="paragraph" w:styleId="BodyText">
    <w:name w:val="Body Text"/>
    <w:basedOn w:val="Normal"/>
    <w:rsid w:val="00361497"/>
    <w:pPr>
      <w:spacing w:after="120"/>
    </w:pPr>
    <w:rPr>
      <w:snapToGrid w:val="0"/>
      <w:sz w:val="20"/>
      <w:szCs w:val="20"/>
      <w:lang w:val="en-US" w:bidi="he-IL"/>
    </w:rPr>
  </w:style>
  <w:style w:type="paragraph" w:customStyle="1" w:styleId="Bulletcolored">
    <w:name w:val="Bullet colored"/>
    <w:rsid w:val="008D79B8"/>
    <w:pPr>
      <w:numPr>
        <w:numId w:val="14"/>
      </w:numPr>
    </w:pPr>
    <w:rPr>
      <w:rFonts w:ascii="Segoe UI" w:hAnsi="Segoe UI" w:cs="Segoe UI"/>
      <w:color w:val="323232"/>
      <w:sz w:val="17"/>
      <w:szCs w:val="24"/>
    </w:rPr>
  </w:style>
  <w:style w:type="paragraph" w:customStyle="1" w:styleId="ColoredText">
    <w:name w:val="Colored Text"/>
    <w:basedOn w:val="Bodycopy"/>
    <w:rsid w:val="00361497"/>
    <w:rPr>
      <w:color w:val="A0A0A0"/>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sid w:val="00361497"/>
    <w:rPr>
      <w:bCs/>
    </w:rPr>
  </w:style>
  <w:style w:type="paragraph" w:customStyle="1" w:styleId="Bulletbold">
    <w:name w:val="Bullet bold"/>
    <w:basedOn w:val="Bullet"/>
    <w:rsid w:val="00361497"/>
    <w:pPr>
      <w:numPr>
        <w:numId w:val="9"/>
      </w:numPr>
    </w:pPr>
  </w:style>
  <w:style w:type="paragraph" w:customStyle="1" w:styleId="Contents">
    <w:name w:val="Contents"/>
    <w:basedOn w:val="Bodycopy"/>
    <w:rsid w:val="00361497"/>
    <w:pPr>
      <w:spacing w:line="480" w:lineRule="exact"/>
    </w:pPr>
    <w:rPr>
      <w:color w:val="FFFFFF"/>
      <w:sz w:val="30"/>
    </w:rPr>
  </w:style>
  <w:style w:type="character" w:styleId="PageNumber">
    <w:name w:val="page number"/>
    <w:basedOn w:val="DefaultParagraphFont"/>
    <w:rsid w:val="00361497"/>
    <w:rPr>
      <w:rFonts w:ascii="Segoe UI" w:hAnsi="Segoe UI" w:cs="Segoe UI"/>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rsid w:val="00361497"/>
    <w:pPr>
      <w:spacing w:line="240" w:lineRule="exact"/>
    </w:pPr>
    <w:rPr>
      <w:color w:val="FF3300"/>
    </w:rPr>
  </w:style>
  <w:style w:type="paragraph" w:customStyle="1" w:styleId="Casestudydescription">
    <w:name w:val="Case study description"/>
    <w:basedOn w:val="Normal"/>
    <w:rsid w:val="00361497"/>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sid w:val="00361497"/>
    <w:rPr>
      <w:color w:val="FFFFFF"/>
      <w:sz w:val="19"/>
    </w:rPr>
  </w:style>
  <w:style w:type="paragraph" w:customStyle="1" w:styleId="Bullet2">
    <w:name w:val="Bullet2"/>
    <w:basedOn w:val="Bullet"/>
    <w:rsid w:val="00361497"/>
    <w:pPr>
      <w:numPr>
        <w:numId w:val="0"/>
      </w:numPr>
      <w:ind w:left="170"/>
    </w:pPr>
  </w:style>
  <w:style w:type="paragraph" w:customStyle="1" w:styleId="SectionHeadingGrey">
    <w:name w:val="Section Heading Grey"/>
    <w:basedOn w:val="SectionHeading"/>
    <w:rsid w:val="00361497"/>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rsid w:val="00361497"/>
    <w:pPr>
      <w:ind w:left="60"/>
    </w:pPr>
    <w:rPr>
      <w:color w:val="FFFFFF"/>
      <w:szCs w:val="17"/>
    </w:rPr>
  </w:style>
  <w:style w:type="paragraph" w:styleId="EnvelopeAddress">
    <w:name w:val="envelope address"/>
    <w:basedOn w:val="Normal"/>
    <w:rsid w:val="00361497"/>
    <w:pPr>
      <w:framePr w:w="7920" w:h="1980" w:hRule="exact" w:hSpace="180" w:wrap="auto" w:hAnchor="page" w:xAlign="center" w:yAlign="bottom"/>
      <w:ind w:left="2880"/>
    </w:pPr>
    <w:rPr>
      <w:sz w:val="24"/>
    </w:rPr>
  </w:style>
  <w:style w:type="paragraph" w:customStyle="1" w:styleId="BulletLevel2">
    <w:name w:val="Bullet Level2"/>
    <w:basedOn w:val="BulletGrey"/>
    <w:rsid w:val="00361497"/>
    <w:pPr>
      <w:numPr>
        <w:numId w:val="8"/>
      </w:numPr>
      <w:tabs>
        <w:tab w:val="clear" w:pos="170"/>
      </w:tabs>
    </w:pPr>
  </w:style>
  <w:style w:type="paragraph" w:styleId="BalloonText">
    <w:name w:val="Balloon Text"/>
    <w:basedOn w:val="Normal"/>
    <w:semiHidden/>
    <w:rsid w:val="00361497"/>
    <w:rPr>
      <w:sz w:val="16"/>
      <w:szCs w:val="16"/>
    </w:rPr>
  </w:style>
  <w:style w:type="character" w:customStyle="1" w:styleId="URL">
    <w:name w:val="URL"/>
    <w:basedOn w:val="DefaultParagraphFont"/>
    <w:rsid w:val="008D79B8"/>
    <w:rPr>
      <w:rFonts w:ascii="Segoe UI" w:hAnsi="Segoe UI" w:cs="Segoe UI"/>
      <w:color w:val="209FC8"/>
      <w:u w:val="single"/>
    </w:rPr>
  </w:style>
  <w:style w:type="character" w:styleId="FollowedHyperlink">
    <w:name w:val="FollowedHyperlink"/>
    <w:basedOn w:val="DefaultParagraphFont"/>
    <w:rsid w:val="00500DAB"/>
    <w:rPr>
      <w:rFonts w:ascii="Segoe UI" w:hAnsi="Segoe UI" w:cs="Segoe UI"/>
      <w:color w:val="800080"/>
      <w:u w:val="single"/>
    </w:rPr>
  </w:style>
  <w:style w:type="character" w:styleId="CommentReference">
    <w:name w:val="annotation reference"/>
    <w:basedOn w:val="DefaultParagraphFont"/>
    <w:rsid w:val="00ED6BB9"/>
    <w:rPr>
      <w:rFonts w:ascii="Segoe UI" w:hAnsi="Segoe UI" w:cs="Segoe UI"/>
      <w:sz w:val="16"/>
      <w:szCs w:val="16"/>
    </w:rPr>
  </w:style>
  <w:style w:type="paragraph" w:styleId="CommentSubject">
    <w:name w:val="annotation subject"/>
    <w:basedOn w:val="CommentText"/>
    <w:next w:val="CommentText"/>
    <w:link w:val="CommentSubjectChar"/>
    <w:rsid w:val="00ED6BB9"/>
    <w:rPr>
      <w:b/>
      <w:bCs/>
      <w:sz w:val="20"/>
      <w:szCs w:val="20"/>
    </w:rPr>
  </w:style>
  <w:style w:type="character" w:customStyle="1" w:styleId="CommentTextChar">
    <w:name w:val="Comment Text Char"/>
    <w:basedOn w:val="DefaultParagraphFont"/>
    <w:link w:val="CommentText"/>
    <w:semiHidden/>
    <w:rsid w:val="00ED6BB9"/>
    <w:rPr>
      <w:rFonts w:ascii="Segoe UI" w:hAnsi="Segoe UI" w:cs="Segoe UI"/>
      <w:sz w:val="24"/>
      <w:szCs w:val="24"/>
      <w:lang w:val="en-GB"/>
    </w:rPr>
  </w:style>
  <w:style w:type="character" w:customStyle="1" w:styleId="CommentSubjectChar">
    <w:name w:val="Comment Subject Char"/>
    <w:basedOn w:val="CommentTextChar"/>
    <w:link w:val="CommentSubject"/>
    <w:rsid w:val="00ED6BB9"/>
    <w:rPr>
      <w:rFonts w:ascii="Segoe UI" w:hAnsi="Segoe UI" w:cs="Segoe UI"/>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val="en-GB"/>
    </w:rPr>
  </w:style>
  <w:style w:type="paragraph" w:styleId="Heading1">
    <w:name w:val="heading 1"/>
    <w:basedOn w:val="Normal"/>
    <w:next w:val="Normal"/>
    <w:qFormat/>
    <w:rsid w:val="00361497"/>
    <w:pPr>
      <w:keepNext/>
      <w:spacing w:before="240" w:after="60"/>
      <w:jc w:val="both"/>
      <w:outlineLvl w:val="0"/>
    </w:pPr>
    <w:rPr>
      <w:b/>
      <w:kern w:val="28"/>
      <w:sz w:val="28"/>
      <w:szCs w:val="20"/>
      <w:lang w:bidi="he-IL"/>
    </w:rPr>
  </w:style>
  <w:style w:type="paragraph" w:styleId="Heading2">
    <w:name w:val="heading 2"/>
    <w:basedOn w:val="Heading1"/>
    <w:next w:val="Normal"/>
    <w:qFormat/>
    <w:rsid w:val="00361497"/>
    <w:pPr>
      <w:tabs>
        <w:tab w:val="num" w:pos="1440"/>
      </w:tabs>
      <w:spacing w:after="240"/>
      <w:ind w:left="1440" w:hanging="720"/>
      <w:jc w:val="left"/>
      <w:outlineLvl w:val="1"/>
    </w:pPr>
    <w:rPr>
      <w:kern w:val="0"/>
      <w:sz w:val="26"/>
    </w:rPr>
  </w:style>
  <w:style w:type="paragraph" w:styleId="Heading3">
    <w:name w:val="heading 3"/>
    <w:basedOn w:val="Normal"/>
    <w:next w:val="Normal"/>
    <w:qFormat/>
    <w:rsid w:val="00361497"/>
    <w:pPr>
      <w:keepNext/>
      <w:tabs>
        <w:tab w:val="num" w:pos="360"/>
      </w:tabs>
      <w:spacing w:before="240" w:after="60"/>
      <w:ind w:left="360" w:hanging="360"/>
      <w:outlineLvl w:val="2"/>
    </w:pPr>
    <w:rPr>
      <w:sz w:val="24"/>
      <w:szCs w:val="20"/>
      <w:lang w:bidi="he-IL"/>
    </w:rPr>
  </w:style>
  <w:style w:type="paragraph" w:styleId="Heading4">
    <w:name w:val="heading 4"/>
    <w:basedOn w:val="Normal"/>
    <w:next w:val="Normal"/>
    <w:qFormat/>
    <w:rsid w:val="00361497"/>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361497"/>
    <w:pPr>
      <w:ind w:left="1134"/>
    </w:pPr>
    <w:rPr>
      <w:sz w:val="20"/>
    </w:rPr>
  </w:style>
  <w:style w:type="paragraph" w:styleId="Footer">
    <w:name w:val="footer"/>
    <w:basedOn w:val="Normal"/>
    <w:rsid w:val="00361497"/>
    <w:pPr>
      <w:tabs>
        <w:tab w:val="center" w:pos="4153"/>
        <w:tab w:val="right" w:pos="8306"/>
      </w:tabs>
    </w:pPr>
  </w:style>
  <w:style w:type="paragraph" w:styleId="Header">
    <w:name w:val="header"/>
    <w:basedOn w:val="Normal"/>
    <w:rsid w:val="00361497"/>
    <w:pPr>
      <w:tabs>
        <w:tab w:val="center" w:pos="4153"/>
        <w:tab w:val="right" w:pos="8306"/>
      </w:tabs>
      <w:jc w:val="both"/>
    </w:pPr>
    <w:rPr>
      <w:sz w:val="16"/>
      <w:szCs w:val="20"/>
      <w:lang w:bidi="he-IL"/>
    </w:rPr>
  </w:style>
  <w:style w:type="paragraph" w:styleId="EnvelopeReturn">
    <w:name w:val="envelope return"/>
    <w:basedOn w:val="Normal"/>
    <w:rsid w:val="00361497"/>
    <w:rPr>
      <w:i/>
      <w:sz w:val="48"/>
      <w:szCs w:val="48"/>
    </w:rPr>
  </w:style>
  <w:style w:type="paragraph" w:styleId="CommentText">
    <w:name w:val="annotation text"/>
    <w:basedOn w:val="Normal"/>
    <w:link w:val="CommentTextChar"/>
    <w:semiHidden/>
    <w:rsid w:val="00361497"/>
    <w:rPr>
      <w:sz w:val="24"/>
    </w:rPr>
  </w:style>
  <w:style w:type="paragraph" w:customStyle="1" w:styleId="Answer">
    <w:name w:val="Answer"/>
    <w:basedOn w:val="Normal"/>
    <w:next w:val="Question"/>
    <w:rsid w:val="00361497"/>
    <w:pPr>
      <w:numPr>
        <w:numId w:val="3"/>
      </w:numPr>
    </w:pPr>
    <w:rPr>
      <w:i/>
    </w:rPr>
  </w:style>
  <w:style w:type="paragraph" w:customStyle="1" w:styleId="Question">
    <w:name w:val="Question"/>
    <w:basedOn w:val="Normal"/>
    <w:next w:val="Answer"/>
    <w:rsid w:val="00361497"/>
    <w:pPr>
      <w:numPr>
        <w:numId w:val="2"/>
      </w:numPr>
    </w:pPr>
  </w:style>
  <w:style w:type="paragraph" w:customStyle="1" w:styleId="Bodycopy">
    <w:name w:val="Body copy"/>
    <w:basedOn w:val="Normal"/>
    <w:rsid w:val="008D79B8"/>
    <w:pPr>
      <w:spacing w:line="240" w:lineRule="exact"/>
    </w:pPr>
    <w:rPr>
      <w:color w:val="323232"/>
      <w:lang w:val="en-US"/>
    </w:rPr>
  </w:style>
  <w:style w:type="paragraph" w:customStyle="1" w:styleId="SectionHeading">
    <w:name w:val="Section Heading"/>
    <w:basedOn w:val="ColoredText"/>
    <w:next w:val="Bodycopy"/>
    <w:rsid w:val="008657EB"/>
    <w:pPr>
      <w:keepNext/>
    </w:pPr>
    <w:rPr>
      <w:color w:val="000000"/>
      <w:sz w:val="24"/>
    </w:rPr>
  </w:style>
  <w:style w:type="paragraph" w:customStyle="1" w:styleId="Subject">
    <w:name w:val="Subject"/>
    <w:basedOn w:val="Normal"/>
    <w:rsid w:val="00361497"/>
    <w:pPr>
      <w:jc w:val="center"/>
    </w:pPr>
    <w:rPr>
      <w:b/>
      <w:sz w:val="32"/>
      <w:u w:val="single"/>
    </w:rPr>
  </w:style>
  <w:style w:type="paragraph" w:styleId="PlainText">
    <w:name w:val="Plain Text"/>
    <w:basedOn w:val="Normal"/>
    <w:rsid w:val="00361497"/>
    <w:rPr>
      <w:sz w:val="22"/>
    </w:rPr>
  </w:style>
  <w:style w:type="paragraph" w:customStyle="1" w:styleId="MergedAnswer">
    <w:name w:val="MergedAnswer"/>
    <w:basedOn w:val="Normal"/>
    <w:rsid w:val="00361497"/>
  </w:style>
  <w:style w:type="paragraph" w:styleId="TOC2">
    <w:name w:val="toc 2"/>
    <w:basedOn w:val="Normal"/>
    <w:next w:val="Normal"/>
    <w:autoRedefine/>
    <w:semiHidden/>
    <w:rsid w:val="00361497"/>
    <w:pPr>
      <w:widowControl w:val="0"/>
      <w:tabs>
        <w:tab w:val="num" w:pos="360"/>
        <w:tab w:val="left" w:pos="851"/>
        <w:tab w:val="right" w:pos="8335"/>
      </w:tabs>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rsid w:val="00361497"/>
    <w:pPr>
      <w:spacing w:after="10" w:line="240" w:lineRule="auto"/>
    </w:pPr>
    <w:rPr>
      <w:bCs/>
      <w:sz w:val="32"/>
    </w:rPr>
  </w:style>
  <w:style w:type="paragraph" w:customStyle="1" w:styleId="WHITEPAPER">
    <w:name w:val="WHITE PAPER"/>
    <w:basedOn w:val="ColoredText"/>
    <w:rsid w:val="00361497"/>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8D79B8"/>
    <w:pPr>
      <w:numPr>
        <w:numId w:val="10"/>
      </w:numPr>
      <w:tabs>
        <w:tab w:val="clear" w:pos="360"/>
        <w:tab w:val="left" w:pos="170"/>
      </w:tabs>
      <w:spacing w:line="240" w:lineRule="exact"/>
      <w:ind w:left="181" w:hanging="181"/>
    </w:pPr>
    <w:rPr>
      <w:rFonts w:ascii="Segoe UI" w:hAnsi="Segoe UI" w:cs="Segoe UI"/>
      <w:color w:val="323232"/>
      <w:sz w:val="17"/>
      <w:szCs w:val="17"/>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sid w:val="00361497"/>
    <w:rPr>
      <w:sz w:val="19"/>
    </w:rPr>
  </w:style>
  <w:style w:type="paragraph" w:styleId="TOC1">
    <w:name w:val="toc 1"/>
    <w:basedOn w:val="Normal"/>
    <w:next w:val="Normal"/>
    <w:semiHidden/>
    <w:rsid w:val="00361497"/>
    <w:pPr>
      <w:tabs>
        <w:tab w:val="right" w:pos="3289"/>
      </w:tabs>
      <w:spacing w:line="360" w:lineRule="exact"/>
    </w:pPr>
    <w:rPr>
      <w:noProof/>
      <w:color w:val="FFFFFF"/>
      <w:sz w:val="24"/>
    </w:rPr>
  </w:style>
  <w:style w:type="paragraph" w:styleId="TOC3">
    <w:name w:val="toc 3"/>
    <w:basedOn w:val="Normal"/>
    <w:next w:val="Normal"/>
    <w:autoRedefine/>
    <w:semiHidden/>
    <w:rsid w:val="00361497"/>
    <w:pPr>
      <w:ind w:left="440"/>
    </w:pPr>
  </w:style>
  <w:style w:type="paragraph" w:styleId="TOC4">
    <w:name w:val="toc 4"/>
    <w:basedOn w:val="Normal"/>
    <w:next w:val="Normal"/>
    <w:autoRedefine/>
    <w:semiHidden/>
    <w:rsid w:val="00361497"/>
    <w:pPr>
      <w:ind w:left="660"/>
    </w:pPr>
  </w:style>
  <w:style w:type="paragraph" w:styleId="TOC5">
    <w:name w:val="toc 5"/>
    <w:basedOn w:val="Normal"/>
    <w:next w:val="Normal"/>
    <w:autoRedefine/>
    <w:semiHidden/>
    <w:rsid w:val="00361497"/>
    <w:pPr>
      <w:ind w:left="880"/>
    </w:pPr>
  </w:style>
  <w:style w:type="paragraph" w:styleId="TOC6">
    <w:name w:val="toc 6"/>
    <w:basedOn w:val="Normal"/>
    <w:next w:val="Normal"/>
    <w:autoRedefine/>
    <w:semiHidden/>
    <w:rsid w:val="00361497"/>
    <w:pPr>
      <w:ind w:left="1100"/>
    </w:pPr>
  </w:style>
  <w:style w:type="paragraph" w:styleId="TOC7">
    <w:name w:val="toc 7"/>
    <w:basedOn w:val="Normal"/>
    <w:next w:val="Normal"/>
    <w:autoRedefine/>
    <w:semiHidden/>
    <w:rsid w:val="00361497"/>
    <w:pPr>
      <w:ind w:left="1320"/>
    </w:pPr>
  </w:style>
  <w:style w:type="paragraph" w:styleId="TOC8">
    <w:name w:val="toc 8"/>
    <w:basedOn w:val="Normal"/>
    <w:next w:val="Normal"/>
    <w:autoRedefine/>
    <w:semiHidden/>
    <w:rsid w:val="00361497"/>
    <w:pPr>
      <w:ind w:left="1540"/>
    </w:pPr>
  </w:style>
  <w:style w:type="paragraph" w:styleId="TOC9">
    <w:name w:val="toc 9"/>
    <w:basedOn w:val="Normal"/>
    <w:next w:val="Normal"/>
    <w:autoRedefine/>
    <w:semiHidden/>
    <w:rsid w:val="00361497"/>
    <w:pPr>
      <w:ind w:left="1760"/>
    </w:pPr>
  </w:style>
  <w:style w:type="character" w:styleId="Hyperlink">
    <w:name w:val="Hyperlink"/>
    <w:basedOn w:val="DefaultParagraphFont"/>
    <w:rsid w:val="00C03D86"/>
    <w:rPr>
      <w:rFonts w:ascii="Segoe UI" w:hAnsi="Segoe UI" w:cs="Segoe UI"/>
      <w:color w:val="209FC8"/>
      <w:u w:val="single"/>
    </w:rPr>
  </w:style>
  <w:style w:type="paragraph" w:customStyle="1" w:styleId="AutoCorrect">
    <w:name w:val="AutoCorrect"/>
    <w:rsid w:val="00361497"/>
    <w:rPr>
      <w:rFonts w:ascii="Segoe UI" w:hAnsi="Segoe UI" w:cs="Segoe UI"/>
      <w:lang w:val="en-GB" w:bidi="he-IL"/>
    </w:rPr>
  </w:style>
  <w:style w:type="paragraph" w:styleId="BodyText">
    <w:name w:val="Body Text"/>
    <w:basedOn w:val="Normal"/>
    <w:rsid w:val="00361497"/>
    <w:pPr>
      <w:spacing w:after="120"/>
    </w:pPr>
    <w:rPr>
      <w:snapToGrid w:val="0"/>
      <w:sz w:val="20"/>
      <w:szCs w:val="20"/>
      <w:lang w:val="en-US" w:bidi="he-IL"/>
    </w:rPr>
  </w:style>
  <w:style w:type="paragraph" w:customStyle="1" w:styleId="Bulletcolored">
    <w:name w:val="Bullet colored"/>
    <w:rsid w:val="008D79B8"/>
    <w:pPr>
      <w:numPr>
        <w:numId w:val="14"/>
      </w:numPr>
    </w:pPr>
    <w:rPr>
      <w:rFonts w:ascii="Segoe UI" w:hAnsi="Segoe UI" w:cs="Segoe UI"/>
      <w:color w:val="323232"/>
      <w:sz w:val="17"/>
      <w:szCs w:val="24"/>
    </w:rPr>
  </w:style>
  <w:style w:type="paragraph" w:customStyle="1" w:styleId="ColoredText">
    <w:name w:val="Colored Text"/>
    <w:basedOn w:val="Bodycopy"/>
    <w:rsid w:val="00361497"/>
    <w:rPr>
      <w:color w:val="A0A0A0"/>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sid w:val="00361497"/>
    <w:rPr>
      <w:bCs/>
    </w:rPr>
  </w:style>
  <w:style w:type="paragraph" w:customStyle="1" w:styleId="Bulletbold">
    <w:name w:val="Bullet bold"/>
    <w:basedOn w:val="Bullet"/>
    <w:rsid w:val="00361497"/>
    <w:pPr>
      <w:numPr>
        <w:numId w:val="9"/>
      </w:numPr>
    </w:pPr>
  </w:style>
  <w:style w:type="paragraph" w:customStyle="1" w:styleId="Contents">
    <w:name w:val="Contents"/>
    <w:basedOn w:val="Bodycopy"/>
    <w:rsid w:val="00361497"/>
    <w:pPr>
      <w:spacing w:line="480" w:lineRule="exact"/>
    </w:pPr>
    <w:rPr>
      <w:color w:val="FFFFFF"/>
      <w:sz w:val="30"/>
    </w:rPr>
  </w:style>
  <w:style w:type="character" w:styleId="PageNumber">
    <w:name w:val="page number"/>
    <w:basedOn w:val="DefaultParagraphFont"/>
    <w:rsid w:val="00361497"/>
    <w:rPr>
      <w:rFonts w:ascii="Segoe UI" w:hAnsi="Segoe UI" w:cs="Segoe UI"/>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rsid w:val="00361497"/>
    <w:pPr>
      <w:spacing w:line="240" w:lineRule="exact"/>
    </w:pPr>
    <w:rPr>
      <w:color w:val="FF3300"/>
    </w:rPr>
  </w:style>
  <w:style w:type="paragraph" w:customStyle="1" w:styleId="Casestudydescription">
    <w:name w:val="Case study description"/>
    <w:basedOn w:val="Normal"/>
    <w:rsid w:val="00361497"/>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sid w:val="00361497"/>
    <w:rPr>
      <w:color w:val="FFFFFF"/>
      <w:sz w:val="19"/>
    </w:rPr>
  </w:style>
  <w:style w:type="paragraph" w:customStyle="1" w:styleId="Bullet2">
    <w:name w:val="Bullet2"/>
    <w:basedOn w:val="Bullet"/>
    <w:rsid w:val="00361497"/>
    <w:pPr>
      <w:numPr>
        <w:numId w:val="0"/>
      </w:numPr>
      <w:ind w:left="170"/>
    </w:pPr>
  </w:style>
  <w:style w:type="paragraph" w:customStyle="1" w:styleId="SectionHeadingGrey">
    <w:name w:val="Section Heading Grey"/>
    <w:basedOn w:val="SectionHeading"/>
    <w:rsid w:val="00361497"/>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rsid w:val="00361497"/>
    <w:pPr>
      <w:ind w:left="60"/>
    </w:pPr>
    <w:rPr>
      <w:color w:val="FFFFFF"/>
      <w:szCs w:val="17"/>
    </w:rPr>
  </w:style>
  <w:style w:type="paragraph" w:styleId="EnvelopeAddress">
    <w:name w:val="envelope address"/>
    <w:basedOn w:val="Normal"/>
    <w:rsid w:val="00361497"/>
    <w:pPr>
      <w:framePr w:w="7920" w:h="1980" w:hRule="exact" w:hSpace="180" w:wrap="auto" w:hAnchor="page" w:xAlign="center" w:yAlign="bottom"/>
      <w:ind w:left="2880"/>
    </w:pPr>
    <w:rPr>
      <w:sz w:val="24"/>
    </w:rPr>
  </w:style>
  <w:style w:type="paragraph" w:customStyle="1" w:styleId="BulletLevel2">
    <w:name w:val="Bullet Level2"/>
    <w:basedOn w:val="BulletGrey"/>
    <w:rsid w:val="00361497"/>
    <w:pPr>
      <w:numPr>
        <w:numId w:val="8"/>
      </w:numPr>
      <w:tabs>
        <w:tab w:val="clear" w:pos="170"/>
      </w:tabs>
    </w:pPr>
  </w:style>
  <w:style w:type="paragraph" w:styleId="BalloonText">
    <w:name w:val="Balloon Text"/>
    <w:basedOn w:val="Normal"/>
    <w:semiHidden/>
    <w:rsid w:val="00361497"/>
    <w:rPr>
      <w:sz w:val="16"/>
      <w:szCs w:val="16"/>
    </w:rPr>
  </w:style>
  <w:style w:type="character" w:customStyle="1" w:styleId="URL">
    <w:name w:val="URL"/>
    <w:basedOn w:val="DefaultParagraphFont"/>
    <w:rsid w:val="008D79B8"/>
    <w:rPr>
      <w:rFonts w:ascii="Segoe UI" w:hAnsi="Segoe UI" w:cs="Segoe UI"/>
      <w:color w:val="209FC8"/>
      <w:u w:val="single"/>
    </w:rPr>
  </w:style>
  <w:style w:type="character" w:styleId="FollowedHyperlink">
    <w:name w:val="FollowedHyperlink"/>
    <w:basedOn w:val="DefaultParagraphFont"/>
    <w:rsid w:val="00500DAB"/>
    <w:rPr>
      <w:rFonts w:ascii="Segoe UI" w:hAnsi="Segoe UI" w:cs="Segoe UI"/>
      <w:color w:val="800080"/>
      <w:u w:val="single"/>
    </w:rPr>
  </w:style>
  <w:style w:type="character" w:styleId="CommentReference">
    <w:name w:val="annotation reference"/>
    <w:basedOn w:val="DefaultParagraphFont"/>
    <w:rsid w:val="00ED6BB9"/>
    <w:rPr>
      <w:rFonts w:ascii="Segoe UI" w:hAnsi="Segoe UI" w:cs="Segoe UI"/>
      <w:sz w:val="16"/>
      <w:szCs w:val="16"/>
    </w:rPr>
  </w:style>
  <w:style w:type="paragraph" w:styleId="CommentSubject">
    <w:name w:val="annotation subject"/>
    <w:basedOn w:val="CommentText"/>
    <w:next w:val="CommentText"/>
    <w:link w:val="CommentSubjectChar"/>
    <w:rsid w:val="00ED6BB9"/>
    <w:rPr>
      <w:b/>
      <w:bCs/>
      <w:sz w:val="20"/>
      <w:szCs w:val="20"/>
    </w:rPr>
  </w:style>
  <w:style w:type="character" w:customStyle="1" w:styleId="CommentTextChar">
    <w:name w:val="Comment Text Char"/>
    <w:basedOn w:val="DefaultParagraphFont"/>
    <w:link w:val="CommentText"/>
    <w:semiHidden/>
    <w:rsid w:val="00ED6BB9"/>
    <w:rPr>
      <w:rFonts w:ascii="Segoe UI" w:hAnsi="Segoe UI" w:cs="Segoe UI"/>
      <w:sz w:val="24"/>
      <w:szCs w:val="24"/>
      <w:lang w:val="en-GB"/>
    </w:rPr>
  </w:style>
  <w:style w:type="character" w:customStyle="1" w:styleId="CommentSubjectChar">
    <w:name w:val="Comment Subject Char"/>
    <w:basedOn w:val="CommentTextChar"/>
    <w:link w:val="CommentSubject"/>
    <w:rsid w:val="00ED6BB9"/>
    <w:rPr>
      <w:rFonts w:ascii="Segoe UI" w:hAnsi="Segoe UI" w:cs="Segoe U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crosof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orho.000\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CEP_Template.dot</Template>
  <TotalTime>3</TotalTime>
  <Pages>4</Pages>
  <Words>1573</Words>
  <Characters>9363</Characters>
  <Application>Microsoft Office Word</Application>
  <DocSecurity>0</DocSecurity>
  <Lines>78</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Metia CEP Turkish Pharmaceutical Manufacturer Improves Integration With Exchange Server</vt:lpstr>
      <vt:lpstr>Metia CEP Turkish Pharmaceutical Manufacturer Improves Integration With Exchange Server</vt:lpstr>
    </vt:vector>
  </TitlesOfParts>
  <Company>WriteImage</Company>
  <LinksUpToDate>false</LinksUpToDate>
  <CharactersWithSpaces>10915</CharactersWithSpaces>
  <SharedDoc>false</SharedDoc>
  <HLinks>
    <vt:vector size="6" baseType="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Metia CEP Turkish Pharmaceutical Manufacturer Improves Integration With Exchange Server</dc:title>
  <dc:subject>Customer: Bilim Ilac Inc.  Partner: Telcoset Ileri Teknolojileri Inc.</dc:subject>
  <dc:creator>Dorothy Ho (Xynergies LLC)</dc:creator>
  <cp:keywords>Country: Turkey  Industry: Pharmaceuticals</cp:keywords>
  <cp:lastModifiedBy>Dorothy Ho (Xynergies LLC)</cp:lastModifiedBy>
  <cp:revision>8</cp:revision>
  <cp:lastPrinted>2003-07-11T08:36:00Z</cp:lastPrinted>
  <dcterms:created xsi:type="dcterms:W3CDTF">2010-02-23T18:20:00Z</dcterms:created>
  <dcterms:modified xsi:type="dcterms:W3CDTF">2010-02-23T18:41:00Z</dcterms:modified>
  <cp:category>Product: Microsoft Exchange Server 2007_x000d_
Customer Solution Case Study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