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1B4" w:rsidRPr="008841B4" w:rsidRDefault="00E17CCE" w:rsidP="008841B4">
      <w:pPr>
        <w:pStyle w:val="Title"/>
      </w:pPr>
      <w:bookmarkStart w:id="0" w:name="OLE_LINK1"/>
      <w:bookmarkStart w:id="1" w:name="OLE_LINK2"/>
      <w:r>
        <w:t>WHEA Generic Error Source</w:t>
      </w:r>
    </w:p>
    <w:bookmarkEnd w:id="0"/>
    <w:bookmarkEnd w:id="1"/>
    <w:p w:rsidR="008841B4" w:rsidRPr="00A74EF8" w:rsidRDefault="008841B4" w:rsidP="008841B4">
      <w:pPr>
        <w:pStyle w:val="Subtitle"/>
      </w:pPr>
      <w:r>
        <w:t>Implementation Notes</w:t>
      </w:r>
    </w:p>
    <w:p w:rsidR="00D57C39" w:rsidRDefault="00846EE8" w:rsidP="00D57C39">
      <w:pPr>
        <w:pStyle w:val="Version"/>
      </w:pPr>
      <w:r>
        <w:t>May 5, 2010</w:t>
      </w:r>
    </w:p>
    <w:p w:rsidR="00D57C39" w:rsidRPr="00A6731E" w:rsidRDefault="00D57C39" w:rsidP="00D57C39">
      <w:pPr>
        <w:pStyle w:val="Procedure"/>
      </w:pPr>
      <w:r w:rsidRPr="00446428">
        <w:t>Abstract</w:t>
      </w:r>
    </w:p>
    <w:p w:rsidR="00D57C39" w:rsidRPr="001D7D52" w:rsidRDefault="00D57C39" w:rsidP="00D57C39">
      <w:pPr>
        <w:pStyle w:val="BodyText"/>
      </w:pPr>
      <w:r>
        <w:t xml:space="preserve">This paper provides information </w:t>
      </w:r>
      <w:r w:rsidRPr="001D7D52">
        <w:t>about</w:t>
      </w:r>
      <w:r w:rsidR="008841B4">
        <w:t xml:space="preserve"> the Windows</w:t>
      </w:r>
      <w:r w:rsidR="00E37A92">
        <w:t>®</w:t>
      </w:r>
      <w:r w:rsidR="008841B4">
        <w:t xml:space="preserve"> Hardware Error Architecture (WHEA) </w:t>
      </w:r>
      <w:r w:rsidR="00350C5C">
        <w:t>f</w:t>
      </w:r>
      <w:r w:rsidRPr="001D7D52">
        <w:t>or the Windows family of operating systems. It provides guidelines for</w:t>
      </w:r>
      <w:r w:rsidR="008841B4">
        <w:t xml:space="preserve"> </w:t>
      </w:r>
      <w:r w:rsidR="000204F8">
        <w:t xml:space="preserve">server </w:t>
      </w:r>
      <w:r w:rsidR="008841B4">
        <w:t>platform vendors to properly implement a generic error source</w:t>
      </w:r>
      <w:r w:rsidRPr="001D7D52">
        <w:t>.</w:t>
      </w:r>
    </w:p>
    <w:p w:rsidR="000204F8" w:rsidRPr="000204F8" w:rsidRDefault="00D57C39" w:rsidP="000204F8">
      <w:pPr>
        <w:pStyle w:val="BodyText"/>
      </w:pPr>
      <w:r w:rsidRPr="000204F8">
        <w:t xml:space="preserve">This information applies to Windows </w:t>
      </w:r>
      <w:r w:rsidR="000204F8" w:rsidRPr="000204F8">
        <w:t>Server® 2008 R2.</w:t>
      </w:r>
    </w:p>
    <w:p w:rsidR="00D57C39" w:rsidRPr="00D70DFD" w:rsidRDefault="00D57C39" w:rsidP="00D57C39">
      <w:pPr>
        <w:pStyle w:val="BodyText"/>
      </w:pPr>
      <w:r w:rsidRPr="00D70DFD">
        <w:t>References and resources discussed here are listed at the end of this paper.</w:t>
      </w:r>
    </w:p>
    <w:p w:rsidR="00D57C39" w:rsidRPr="00B768C5" w:rsidRDefault="00D57C39" w:rsidP="00D57C39">
      <w:pPr>
        <w:pStyle w:val="BodyText"/>
        <w:rPr>
          <w:b/>
          <w:color w:val="FF0000"/>
          <w:u w:val="single"/>
        </w:rPr>
      </w:pPr>
      <w:r w:rsidRPr="00C54E02">
        <w:t xml:space="preserve">The current version of this paper is maintained on the Web at: </w:t>
      </w:r>
      <w:r w:rsidRPr="00C54E02">
        <w:br/>
      </w:r>
      <w:r w:rsidRPr="008841B4">
        <w:rPr>
          <w:sz w:val="18"/>
          <w:szCs w:val="18"/>
        </w:rPr>
        <w:tab/>
      </w:r>
      <w:hyperlink r:id="rId7" w:history="1">
        <w:r w:rsidRPr="008841B4">
          <w:rPr>
            <w:rStyle w:val="Hyperlink"/>
            <w:sz w:val="18"/>
            <w:szCs w:val="18"/>
          </w:rPr>
          <w:t>http://www.microsoft.com/whdc/</w:t>
        </w:r>
        <w:r w:rsidR="008841B4" w:rsidRPr="008841B4">
          <w:rPr>
            <w:rStyle w:val="Hyperlink"/>
            <w:sz w:val="18"/>
            <w:szCs w:val="18"/>
          </w:rPr>
          <w:t>system/pnppwr/whea/WHEA_GenericErrorSource.mspx</w:t>
        </w:r>
      </w:hyperlink>
    </w:p>
    <w:p w:rsidR="00D57C39" w:rsidRDefault="00D57C39" w:rsidP="00D57C39"/>
    <w:p w:rsidR="00D57C39" w:rsidRDefault="00D57C39" w:rsidP="00D57C39"/>
    <w:p w:rsidR="00D57C39" w:rsidRDefault="00D57C39" w:rsidP="00D57C39"/>
    <w:p w:rsidR="003B1713" w:rsidRDefault="003B1713" w:rsidP="00D57C39"/>
    <w:p w:rsidR="003B1713" w:rsidRDefault="003B1713" w:rsidP="00D57C39"/>
    <w:p w:rsidR="003B1713" w:rsidRDefault="003B1713" w:rsidP="00D57C39"/>
    <w:p w:rsidR="003B1713" w:rsidRDefault="003B1713" w:rsidP="00D57C39"/>
    <w:p w:rsidR="000204F8" w:rsidRDefault="000204F8" w:rsidP="00D57C39"/>
    <w:p w:rsidR="000204F8" w:rsidRDefault="000204F8" w:rsidP="00D57C39"/>
    <w:p w:rsidR="000204F8" w:rsidRDefault="000204F8" w:rsidP="00D57C39"/>
    <w:p w:rsidR="000204F8" w:rsidRDefault="000204F8" w:rsidP="00D57C39"/>
    <w:p w:rsidR="003B1713" w:rsidRDefault="003B1713" w:rsidP="00D57C39"/>
    <w:p w:rsidR="003B1713" w:rsidRDefault="003B1713" w:rsidP="00D57C39"/>
    <w:p w:rsidR="003B1713" w:rsidRDefault="003B1713" w:rsidP="00D57C39"/>
    <w:p w:rsidR="003B1713" w:rsidRDefault="003B1713" w:rsidP="00D57C39"/>
    <w:p w:rsidR="003B1713" w:rsidRDefault="003B1713" w:rsidP="00D57C39"/>
    <w:p w:rsidR="00D57C39" w:rsidRDefault="00D57C39" w:rsidP="00D57C39"/>
    <w:p w:rsidR="00D57C39" w:rsidRDefault="00D57C39" w:rsidP="00D57C39">
      <w:pPr>
        <w:pBdr>
          <w:top w:val="single" w:sz="4" w:space="1" w:color="auto"/>
          <w:left w:val="single" w:sz="4" w:space="4" w:color="auto"/>
          <w:bottom w:val="single" w:sz="4" w:space="1" w:color="auto"/>
          <w:right w:val="single" w:sz="4" w:space="4" w:color="auto"/>
        </w:pBdr>
        <w:rPr>
          <w:rFonts w:ascii="Arial" w:eastAsiaTheme="minorEastAsia" w:hAnsi="Arial" w:cs="Arial"/>
          <w:i/>
          <w:sz w:val="16"/>
          <w:szCs w:val="16"/>
          <w:lang w:bidi="en-US"/>
        </w:rPr>
      </w:pPr>
      <w:r w:rsidRPr="00F37650">
        <w:rPr>
          <w:rFonts w:ascii="Arial" w:hAnsi="Arial" w:cs="Arial"/>
          <w:b/>
          <w:i/>
          <w:sz w:val="16"/>
          <w:szCs w:val="16"/>
        </w:rPr>
        <w:t>Disclaimer</w:t>
      </w:r>
      <w:r>
        <w:rPr>
          <w:rFonts w:ascii="Arial" w:hAnsi="Arial" w:cs="Arial"/>
          <w:i/>
          <w:sz w:val="16"/>
          <w:szCs w:val="16"/>
        </w:rPr>
        <w:t xml:space="preserve">: </w:t>
      </w:r>
      <w:r w:rsidRPr="00F37650">
        <w:rPr>
          <w:rFonts w:ascii="Arial" w:hAnsi="Arial" w:cs="Arial"/>
          <w:i/>
          <w:sz w:val="16"/>
          <w:szCs w:val="16"/>
        </w:rPr>
        <w:t>This document is provided “as-is”. Information and views expressed in this document, including URL and other Internet Web site references, may change without notice. You bear the risk of using it.</w:t>
      </w:r>
    </w:p>
    <w:p w:rsidR="00D57C39" w:rsidRPr="00F37650" w:rsidRDefault="00D57C39" w:rsidP="00D57C39">
      <w:pPr>
        <w:pBdr>
          <w:top w:val="single" w:sz="4" w:space="1" w:color="auto"/>
          <w:left w:val="single" w:sz="4" w:space="4" w:color="auto"/>
          <w:bottom w:val="single" w:sz="4" w:space="1" w:color="auto"/>
          <w:right w:val="single" w:sz="4" w:space="4" w:color="auto"/>
        </w:pBdr>
        <w:rPr>
          <w:rFonts w:ascii="Arial" w:eastAsiaTheme="minorEastAsia" w:hAnsi="Arial" w:cs="Arial"/>
          <w:i/>
          <w:sz w:val="16"/>
          <w:szCs w:val="16"/>
          <w:lang w:bidi="en-US"/>
        </w:rPr>
      </w:pPr>
    </w:p>
    <w:p w:rsidR="00D57C39" w:rsidRDefault="00D57C39" w:rsidP="00D57C39">
      <w:pPr>
        <w:pBdr>
          <w:top w:val="single" w:sz="4" w:space="1" w:color="auto"/>
          <w:left w:val="single" w:sz="4" w:space="4" w:color="auto"/>
          <w:bottom w:val="single" w:sz="4" w:space="1" w:color="auto"/>
          <w:right w:val="single" w:sz="4" w:space="4" w:color="auto"/>
        </w:pBdr>
        <w:rPr>
          <w:rFonts w:ascii="Arial" w:hAnsi="Arial" w:cs="Arial"/>
          <w:i/>
          <w:sz w:val="16"/>
          <w:szCs w:val="16"/>
        </w:rPr>
      </w:pPr>
      <w:r w:rsidRPr="00F37650">
        <w:rPr>
          <w:rFonts w:ascii="Arial" w:hAnsi="Arial" w:cs="Arial"/>
          <w:i/>
          <w:sz w:val="16"/>
          <w:szCs w:val="16"/>
        </w:rPr>
        <w:t xml:space="preserve">This document does not provide you with any legal rights to any intellectual property in any Microsoft product. You may copy and use this document for your internal, reference purposes. </w:t>
      </w:r>
    </w:p>
    <w:p w:rsidR="00D57C39" w:rsidRPr="00F37650" w:rsidRDefault="00D57C39" w:rsidP="00D57C39">
      <w:pPr>
        <w:pBdr>
          <w:top w:val="single" w:sz="4" w:space="1" w:color="auto"/>
          <w:left w:val="single" w:sz="4" w:space="4" w:color="auto"/>
          <w:bottom w:val="single" w:sz="4" w:space="1" w:color="auto"/>
          <w:right w:val="single" w:sz="4" w:space="4" w:color="auto"/>
        </w:pBdr>
        <w:rPr>
          <w:rFonts w:ascii="Arial" w:hAnsi="Arial" w:cs="Arial"/>
          <w:b/>
          <w:bCs/>
          <w:i/>
          <w:iCs/>
          <w:sz w:val="16"/>
          <w:szCs w:val="16"/>
        </w:rPr>
      </w:pPr>
    </w:p>
    <w:p w:rsidR="00D57C39" w:rsidRDefault="00D57C39" w:rsidP="00D57C39">
      <w:pPr>
        <w:pStyle w:val="Disclaimertext"/>
        <w:pBdr>
          <w:top w:val="single" w:sz="4" w:space="1" w:color="auto"/>
          <w:left w:val="single" w:sz="4" w:space="4" w:color="auto"/>
          <w:bottom w:val="single" w:sz="4" w:space="1" w:color="auto"/>
          <w:right w:val="single" w:sz="4" w:space="4" w:color="auto"/>
        </w:pBdr>
      </w:pPr>
      <w:r>
        <w:t xml:space="preserve">© 2010 Microsoft Corporation. </w:t>
      </w:r>
      <w:r w:rsidRPr="00446428">
        <w:t>All rights reserved.</w:t>
      </w:r>
    </w:p>
    <w:p w:rsidR="00D57C39" w:rsidRDefault="00D57C39" w:rsidP="00D57C39">
      <w:r>
        <w:br w:type="page"/>
      </w:r>
    </w:p>
    <w:p w:rsidR="00D57C39" w:rsidRDefault="00D57C39" w:rsidP="00D57C39">
      <w:pPr>
        <w:pStyle w:val="TableHead"/>
      </w:pPr>
      <w:r>
        <w:lastRenderedPageBreak/>
        <w:t>Document History</w:t>
      </w:r>
    </w:p>
    <w:tbl>
      <w:tblPr>
        <w:tblStyle w:val="Tablerowcell"/>
        <w:tblW w:w="0" w:type="auto"/>
        <w:tblLook w:val="04A0"/>
      </w:tblPr>
      <w:tblGrid>
        <w:gridCol w:w="1728"/>
        <w:gridCol w:w="1330"/>
        <w:gridCol w:w="1529"/>
        <w:gridCol w:w="1529"/>
        <w:gridCol w:w="1672"/>
      </w:tblGrid>
      <w:tr w:rsidR="00D57C39" w:rsidTr="00EA28AE">
        <w:trPr>
          <w:cnfStyle w:val="100000000000"/>
        </w:trPr>
        <w:tc>
          <w:tcPr>
            <w:tcW w:w="1728" w:type="dxa"/>
          </w:tcPr>
          <w:p w:rsidR="00D57C39" w:rsidRPr="00AE4752" w:rsidRDefault="00D57C39" w:rsidP="00E37A92">
            <w:pPr>
              <w:keepNext/>
              <w:tabs>
                <w:tab w:val="left" w:pos="360"/>
              </w:tabs>
            </w:pPr>
            <w:r>
              <w:t>Date</w:t>
            </w:r>
          </w:p>
        </w:tc>
        <w:tc>
          <w:tcPr>
            <w:tcW w:w="1330" w:type="dxa"/>
          </w:tcPr>
          <w:p w:rsidR="00D57C39" w:rsidRPr="00E419C2" w:rsidRDefault="00D57C39" w:rsidP="00E37A92">
            <w:pPr>
              <w:keepNext/>
              <w:tabs>
                <w:tab w:val="left" w:pos="360"/>
              </w:tabs>
            </w:pPr>
            <w:r w:rsidRPr="00E419C2">
              <w:t>Change</w:t>
            </w:r>
          </w:p>
        </w:tc>
        <w:tc>
          <w:tcPr>
            <w:tcW w:w="1529" w:type="dxa"/>
          </w:tcPr>
          <w:p w:rsidR="00D57C39" w:rsidRPr="003D7085" w:rsidRDefault="00D57C39" w:rsidP="00E37A92">
            <w:pPr>
              <w:keepNext/>
              <w:tabs>
                <w:tab w:val="left" w:pos="360"/>
              </w:tabs>
              <w:rPr>
                <w:b w:val="0"/>
                <w:sz w:val="18"/>
              </w:rPr>
            </w:pPr>
          </w:p>
        </w:tc>
        <w:tc>
          <w:tcPr>
            <w:tcW w:w="1529" w:type="dxa"/>
          </w:tcPr>
          <w:p w:rsidR="00D57C39" w:rsidRPr="003D7085" w:rsidRDefault="00D57C39" w:rsidP="00E37A92">
            <w:pPr>
              <w:keepNext/>
              <w:tabs>
                <w:tab w:val="left" w:pos="360"/>
              </w:tabs>
              <w:rPr>
                <w:b w:val="0"/>
                <w:sz w:val="18"/>
              </w:rPr>
            </w:pPr>
          </w:p>
        </w:tc>
        <w:tc>
          <w:tcPr>
            <w:tcW w:w="1672" w:type="dxa"/>
          </w:tcPr>
          <w:p w:rsidR="00D57C39" w:rsidRPr="003D7085" w:rsidRDefault="00D57C39" w:rsidP="00E37A92">
            <w:pPr>
              <w:keepNext/>
              <w:tabs>
                <w:tab w:val="left" w:pos="360"/>
              </w:tabs>
              <w:rPr>
                <w:b w:val="0"/>
                <w:sz w:val="18"/>
              </w:rPr>
            </w:pPr>
          </w:p>
        </w:tc>
      </w:tr>
      <w:tr w:rsidR="00D57C39" w:rsidTr="00EA28AE">
        <w:tc>
          <w:tcPr>
            <w:tcW w:w="1728" w:type="dxa"/>
          </w:tcPr>
          <w:p w:rsidR="00D57C39" w:rsidRPr="00846EE8" w:rsidRDefault="003F6CD3" w:rsidP="00E37A92">
            <w:pPr>
              <w:tabs>
                <w:tab w:val="left" w:pos="360"/>
              </w:tabs>
            </w:pPr>
            <w:r w:rsidRPr="00846EE8">
              <w:t>May 5, 2010</w:t>
            </w:r>
          </w:p>
        </w:tc>
        <w:tc>
          <w:tcPr>
            <w:tcW w:w="6060" w:type="dxa"/>
            <w:gridSpan w:val="4"/>
          </w:tcPr>
          <w:p w:rsidR="00D57C39" w:rsidRPr="00AE4752" w:rsidRDefault="00D57C39" w:rsidP="00E37A92">
            <w:pPr>
              <w:tabs>
                <w:tab w:val="left" w:pos="360"/>
              </w:tabs>
            </w:pPr>
            <w:r>
              <w:t>First publication</w:t>
            </w:r>
          </w:p>
        </w:tc>
      </w:tr>
    </w:tbl>
    <w:p w:rsidR="00D57C39" w:rsidRDefault="00D57C39" w:rsidP="00D57C39">
      <w:pPr>
        <w:pStyle w:val="BodyText"/>
      </w:pPr>
    </w:p>
    <w:p w:rsidR="00D57C39" w:rsidRDefault="00D57C39" w:rsidP="00D57C39">
      <w:pPr>
        <w:rPr>
          <w:rFonts w:ascii="Arial" w:hAnsi="Arial" w:cs="Arial"/>
          <w:sz w:val="28"/>
          <w:szCs w:val="28"/>
        </w:rPr>
      </w:pPr>
    </w:p>
    <w:p w:rsidR="00D57C39" w:rsidRPr="00A6731E" w:rsidRDefault="00D57C39" w:rsidP="00D57C39">
      <w:pPr>
        <w:pStyle w:val="Contents"/>
      </w:pPr>
      <w:r w:rsidRPr="00555AF3">
        <w:t>Contents</w:t>
      </w:r>
    </w:p>
    <w:p w:rsidR="00FB0F4E" w:rsidRDefault="009E617E">
      <w:pPr>
        <w:pStyle w:val="TOC1"/>
      </w:pPr>
      <w:r w:rsidRPr="009E617E">
        <w:rPr>
          <w:rFonts w:ascii="Arial" w:eastAsia="MS Mincho" w:hAnsi="Arial" w:cs="Arial"/>
          <w:sz w:val="18"/>
          <w:szCs w:val="20"/>
        </w:rPr>
        <w:fldChar w:fldCharType="begin"/>
      </w:r>
      <w:r w:rsidR="00D57C39">
        <w:instrText xml:space="preserve"> TOC \o "1-3" \h \z \u </w:instrText>
      </w:r>
      <w:r w:rsidRPr="009E617E">
        <w:rPr>
          <w:rFonts w:ascii="Arial" w:eastAsia="MS Mincho" w:hAnsi="Arial" w:cs="Arial"/>
          <w:sz w:val="18"/>
          <w:szCs w:val="20"/>
        </w:rPr>
        <w:fldChar w:fldCharType="separate"/>
      </w:r>
      <w:hyperlink w:anchor="_Toc257367076" w:history="1">
        <w:r w:rsidR="00FB0F4E" w:rsidRPr="00485C64">
          <w:rPr>
            <w:rStyle w:val="Hyperlink"/>
          </w:rPr>
          <w:t>Introduction</w:t>
        </w:r>
        <w:r w:rsidR="00FB0F4E">
          <w:rPr>
            <w:webHidden/>
          </w:rPr>
          <w:tab/>
        </w:r>
        <w:r>
          <w:rPr>
            <w:webHidden/>
          </w:rPr>
          <w:fldChar w:fldCharType="begin"/>
        </w:r>
        <w:r w:rsidR="00FB0F4E">
          <w:rPr>
            <w:webHidden/>
          </w:rPr>
          <w:instrText xml:space="preserve"> PAGEREF _Toc257367076 \h </w:instrText>
        </w:r>
        <w:r>
          <w:rPr>
            <w:webHidden/>
          </w:rPr>
        </w:r>
        <w:r>
          <w:rPr>
            <w:webHidden/>
          </w:rPr>
          <w:fldChar w:fldCharType="separate"/>
        </w:r>
        <w:r w:rsidR="00FB0F4E">
          <w:rPr>
            <w:webHidden/>
          </w:rPr>
          <w:t>3</w:t>
        </w:r>
        <w:r>
          <w:rPr>
            <w:webHidden/>
          </w:rPr>
          <w:fldChar w:fldCharType="end"/>
        </w:r>
      </w:hyperlink>
    </w:p>
    <w:p w:rsidR="00FB0F4E" w:rsidRDefault="009E617E">
      <w:pPr>
        <w:pStyle w:val="TOC1"/>
      </w:pPr>
      <w:hyperlink w:anchor="_Toc257367077" w:history="1">
        <w:r w:rsidR="00FB0F4E" w:rsidRPr="00485C64">
          <w:rPr>
            <w:rStyle w:val="Hyperlink"/>
          </w:rPr>
          <w:t>Generic Error Source</w:t>
        </w:r>
        <w:r w:rsidR="00FB0F4E">
          <w:rPr>
            <w:webHidden/>
          </w:rPr>
          <w:tab/>
        </w:r>
        <w:r>
          <w:rPr>
            <w:webHidden/>
          </w:rPr>
          <w:fldChar w:fldCharType="begin"/>
        </w:r>
        <w:r w:rsidR="00FB0F4E">
          <w:rPr>
            <w:webHidden/>
          </w:rPr>
          <w:instrText xml:space="preserve"> PAGEREF _Toc257367077 \h </w:instrText>
        </w:r>
        <w:r>
          <w:rPr>
            <w:webHidden/>
          </w:rPr>
        </w:r>
        <w:r>
          <w:rPr>
            <w:webHidden/>
          </w:rPr>
          <w:fldChar w:fldCharType="separate"/>
        </w:r>
        <w:r w:rsidR="00FB0F4E">
          <w:rPr>
            <w:webHidden/>
          </w:rPr>
          <w:t>3</w:t>
        </w:r>
        <w:r>
          <w:rPr>
            <w:webHidden/>
          </w:rPr>
          <w:fldChar w:fldCharType="end"/>
        </w:r>
      </w:hyperlink>
    </w:p>
    <w:p w:rsidR="00FB0F4E" w:rsidRDefault="009E617E">
      <w:pPr>
        <w:pStyle w:val="TOC1"/>
      </w:pPr>
      <w:hyperlink w:anchor="_Toc257367078" w:history="1">
        <w:r w:rsidR="00FB0F4E" w:rsidRPr="00485C64">
          <w:rPr>
            <w:rStyle w:val="Hyperlink"/>
          </w:rPr>
          <w:t>Error Status Block</w:t>
        </w:r>
        <w:r w:rsidR="00FB0F4E">
          <w:rPr>
            <w:webHidden/>
          </w:rPr>
          <w:tab/>
        </w:r>
        <w:r>
          <w:rPr>
            <w:webHidden/>
          </w:rPr>
          <w:fldChar w:fldCharType="begin"/>
        </w:r>
        <w:r w:rsidR="00FB0F4E">
          <w:rPr>
            <w:webHidden/>
          </w:rPr>
          <w:instrText xml:space="preserve"> PAGEREF _Toc257367078 \h </w:instrText>
        </w:r>
        <w:r>
          <w:rPr>
            <w:webHidden/>
          </w:rPr>
        </w:r>
        <w:r>
          <w:rPr>
            <w:webHidden/>
          </w:rPr>
          <w:fldChar w:fldCharType="separate"/>
        </w:r>
        <w:r w:rsidR="00FB0F4E">
          <w:rPr>
            <w:webHidden/>
          </w:rPr>
          <w:t>4</w:t>
        </w:r>
        <w:r>
          <w:rPr>
            <w:webHidden/>
          </w:rPr>
          <w:fldChar w:fldCharType="end"/>
        </w:r>
      </w:hyperlink>
    </w:p>
    <w:p w:rsidR="00FB0F4E" w:rsidRDefault="009E617E">
      <w:pPr>
        <w:pStyle w:val="TOC1"/>
      </w:pPr>
      <w:hyperlink w:anchor="_Toc257367079" w:history="1">
        <w:r w:rsidR="00FB0F4E" w:rsidRPr="00485C64">
          <w:rPr>
            <w:rStyle w:val="Hyperlink"/>
          </w:rPr>
          <w:t>Notification Methods</w:t>
        </w:r>
        <w:r w:rsidR="00FB0F4E">
          <w:rPr>
            <w:webHidden/>
          </w:rPr>
          <w:tab/>
        </w:r>
        <w:r>
          <w:rPr>
            <w:webHidden/>
          </w:rPr>
          <w:fldChar w:fldCharType="begin"/>
        </w:r>
        <w:r w:rsidR="00FB0F4E">
          <w:rPr>
            <w:webHidden/>
          </w:rPr>
          <w:instrText xml:space="preserve"> PAGEREF _Toc257367079 \h </w:instrText>
        </w:r>
        <w:r>
          <w:rPr>
            <w:webHidden/>
          </w:rPr>
        </w:r>
        <w:r>
          <w:rPr>
            <w:webHidden/>
          </w:rPr>
          <w:fldChar w:fldCharType="separate"/>
        </w:r>
        <w:r w:rsidR="00FB0F4E">
          <w:rPr>
            <w:webHidden/>
          </w:rPr>
          <w:t>7</w:t>
        </w:r>
        <w:r>
          <w:rPr>
            <w:webHidden/>
          </w:rPr>
          <w:fldChar w:fldCharType="end"/>
        </w:r>
      </w:hyperlink>
    </w:p>
    <w:p w:rsidR="00FB0F4E" w:rsidRDefault="009E617E">
      <w:pPr>
        <w:pStyle w:val="TOC1"/>
      </w:pPr>
      <w:hyperlink w:anchor="_Toc257367080" w:history="1">
        <w:r w:rsidR="00FB0F4E" w:rsidRPr="00485C64">
          <w:rPr>
            <w:rStyle w:val="Hyperlink"/>
          </w:rPr>
          <w:t>Resources</w:t>
        </w:r>
        <w:r w:rsidR="00FB0F4E">
          <w:rPr>
            <w:webHidden/>
          </w:rPr>
          <w:tab/>
        </w:r>
        <w:r>
          <w:rPr>
            <w:webHidden/>
          </w:rPr>
          <w:fldChar w:fldCharType="begin"/>
        </w:r>
        <w:r w:rsidR="00FB0F4E">
          <w:rPr>
            <w:webHidden/>
          </w:rPr>
          <w:instrText xml:space="preserve"> PAGEREF _Toc257367080 \h </w:instrText>
        </w:r>
        <w:r>
          <w:rPr>
            <w:webHidden/>
          </w:rPr>
        </w:r>
        <w:r>
          <w:rPr>
            <w:webHidden/>
          </w:rPr>
          <w:fldChar w:fldCharType="separate"/>
        </w:r>
        <w:r w:rsidR="00FB0F4E">
          <w:rPr>
            <w:webHidden/>
          </w:rPr>
          <w:t>7</w:t>
        </w:r>
        <w:r>
          <w:rPr>
            <w:webHidden/>
          </w:rPr>
          <w:fldChar w:fldCharType="end"/>
        </w:r>
      </w:hyperlink>
    </w:p>
    <w:p w:rsidR="00D57C39" w:rsidRDefault="009E617E" w:rsidP="00D57C39">
      <w:r>
        <w:fldChar w:fldCharType="end"/>
      </w:r>
    </w:p>
    <w:p w:rsidR="00D57C39" w:rsidRDefault="00D57C39" w:rsidP="00D57C39">
      <w:pPr>
        <w:pStyle w:val="Heading1"/>
      </w:pPr>
      <w:r>
        <w:br w:type="page"/>
      </w:r>
      <w:bookmarkStart w:id="2" w:name="_Toc257367076"/>
      <w:r w:rsidR="005E7103">
        <w:lastRenderedPageBreak/>
        <w:t>Introduction</w:t>
      </w:r>
      <w:bookmarkEnd w:id="2"/>
    </w:p>
    <w:p w:rsidR="005E7103" w:rsidRDefault="005E7103" w:rsidP="005E7103">
      <w:pPr>
        <w:pStyle w:val="BodyText"/>
      </w:pPr>
      <w:r>
        <w:t>The Windows</w:t>
      </w:r>
      <w:r w:rsidR="00E37A92">
        <w:t>®</w:t>
      </w:r>
      <w:r>
        <w:t xml:space="preserve"> Hardware Error Architecture (WHEA) is the foundation for hardware error handling on Windows operating systems. WHEA provides interfaces for the platform and Windows to collaborate on hardware error identification, reporting and, if possible, recovery. Reporting hardware errors through WHEA enables the platform to </w:t>
      </w:r>
      <w:r w:rsidR="00E37A92">
        <w:t xml:space="preserve">use </w:t>
      </w:r>
      <w:r>
        <w:t>the features of the Windows operating system to provide error logging functionality and to integrate with management software. In addition, the collaboration between the platform and Windows for error recovery provides continuous system availability to the end user.</w:t>
      </w:r>
    </w:p>
    <w:p w:rsidR="00FF0702" w:rsidRDefault="00FF0702" w:rsidP="005E7103">
      <w:pPr>
        <w:pStyle w:val="BodyText"/>
      </w:pPr>
      <w:r>
        <w:t xml:space="preserve">The notion of a hardware </w:t>
      </w:r>
      <w:r w:rsidRPr="00FF0702">
        <w:rPr>
          <w:i/>
        </w:rPr>
        <w:t>error source</w:t>
      </w:r>
      <w:r>
        <w:t xml:space="preserve"> is a fundamental concept of WHEA. A hardware error source is any hardware unit that alerts the operating system to the presence of a hardware error condition. Examples of hardware error sources include processor machine check exceptions, chipset error signals, I/O bus errors, and I/O device errors. A single hardware error source might handle error reporting for more than one type of hardware error condition. For example, a processor’s machine check exception typically reports processor errors, cache and memory errors, and system bus errors.</w:t>
      </w:r>
    </w:p>
    <w:p w:rsidR="00A94366" w:rsidRDefault="00FF0702" w:rsidP="000E075D">
      <w:pPr>
        <w:pStyle w:val="BodyText"/>
      </w:pPr>
      <w:r>
        <w:t xml:space="preserve">WHEA includes low-level hardware error handlers </w:t>
      </w:r>
      <w:r w:rsidR="00EB2F44">
        <w:t xml:space="preserve">(LLHEHs) </w:t>
      </w:r>
      <w:r>
        <w:t xml:space="preserve">for </w:t>
      </w:r>
      <w:r w:rsidR="00E831F8">
        <w:t>standard</w:t>
      </w:r>
      <w:r>
        <w:t xml:space="preserve"> hardware error sources</w:t>
      </w:r>
      <w:r w:rsidR="00E831F8">
        <w:t xml:space="preserve"> that exist on most platforms</w:t>
      </w:r>
      <w:r>
        <w:t xml:space="preserve">, such as those </w:t>
      </w:r>
      <w:r w:rsidR="00E831F8">
        <w:t>that were previously mentioned</w:t>
      </w:r>
      <w:r>
        <w:t xml:space="preserve">. </w:t>
      </w:r>
      <w:r w:rsidR="00A94366">
        <w:t xml:space="preserve">WHEA </w:t>
      </w:r>
      <w:r w:rsidR="00E831F8">
        <w:t>is also extensible so that it can</w:t>
      </w:r>
      <w:r>
        <w:t xml:space="preserve"> support other types of hardware errors </w:t>
      </w:r>
      <w:r w:rsidR="00E17CCE">
        <w:t xml:space="preserve">or error reporting mechanisms </w:t>
      </w:r>
      <w:r w:rsidR="00FD344A">
        <w:t xml:space="preserve">through the use of </w:t>
      </w:r>
      <w:r w:rsidR="00E831F8">
        <w:t xml:space="preserve">a </w:t>
      </w:r>
      <w:r w:rsidRPr="00E831F8">
        <w:rPr>
          <w:i/>
        </w:rPr>
        <w:t>generic error source</w:t>
      </w:r>
      <w:r w:rsidR="00E17CCE">
        <w:t>.</w:t>
      </w:r>
      <w:r w:rsidR="00E831F8">
        <w:t xml:space="preserve"> </w:t>
      </w:r>
      <w:r w:rsidR="00E17CCE">
        <w:t xml:space="preserve">A generic error source </w:t>
      </w:r>
      <w:r w:rsidR="00E831F8">
        <w:t xml:space="preserve">provides a mechanism for the platform to report these hardware errors to Windows. </w:t>
      </w:r>
      <w:r w:rsidR="005A4F63">
        <w:t xml:space="preserve">The generic error source support in Windows Server 2008 R2 </w:t>
      </w:r>
      <w:r w:rsidR="00846EE8">
        <w:t xml:space="preserve">complies </w:t>
      </w:r>
      <w:r w:rsidR="005A4F63">
        <w:t xml:space="preserve">with both the WHEA Platform Design Guide and revision 4.0 of the Advanced Configuration and Power Interface (ACPI) specification. </w:t>
      </w:r>
      <w:r w:rsidR="00E831F8">
        <w:t xml:space="preserve">This paper provides clarification to the information in the WHEA </w:t>
      </w:r>
      <w:r w:rsidR="00CD51BA">
        <w:t>Platform Design Guide</w:t>
      </w:r>
      <w:r w:rsidR="00E831F8">
        <w:t xml:space="preserve"> </w:t>
      </w:r>
      <w:r w:rsidR="00446107">
        <w:t xml:space="preserve">and the ACPI specification </w:t>
      </w:r>
      <w:r w:rsidR="00E831F8">
        <w:t>for implementing a generic error source.</w:t>
      </w:r>
    </w:p>
    <w:p w:rsidR="00E67801" w:rsidRDefault="00E67801" w:rsidP="00E67801">
      <w:pPr>
        <w:pStyle w:val="BodyText"/>
      </w:pPr>
      <w:r>
        <w:t xml:space="preserve">For more information about WHEA, see “WHEA – Windows Hardware Error Architecture” on the WHDC </w:t>
      </w:r>
      <w:r w:rsidR="00846EE8">
        <w:t>w</w:t>
      </w:r>
      <w:r>
        <w:t xml:space="preserve">ebsite. See also the WHEA </w:t>
      </w:r>
      <w:r w:rsidR="00CD51BA">
        <w:t>Platform Design Guide</w:t>
      </w:r>
      <w:r>
        <w:t xml:space="preserve">, which is available </w:t>
      </w:r>
      <w:r w:rsidR="00446107">
        <w:t>to Microsoft partners under NDA, and section 17 of the ACPI specification</w:t>
      </w:r>
      <w:r w:rsidR="00E37A92">
        <w:t>,</w:t>
      </w:r>
      <w:r w:rsidR="00446107">
        <w:t xml:space="preserve"> revision 4.0.</w:t>
      </w:r>
    </w:p>
    <w:p w:rsidR="009D7B02" w:rsidRDefault="009D7B02" w:rsidP="009D7B02">
      <w:pPr>
        <w:pStyle w:val="Heading1"/>
      </w:pPr>
      <w:bookmarkStart w:id="3" w:name="_Toc257367077"/>
      <w:r>
        <w:t>Generic Error Source</w:t>
      </w:r>
      <w:bookmarkEnd w:id="3"/>
    </w:p>
    <w:p w:rsidR="006C515E" w:rsidRDefault="000E075D">
      <w:pPr>
        <w:pStyle w:val="BodyTextLink"/>
      </w:pPr>
      <w:r>
        <w:t xml:space="preserve">The </w:t>
      </w:r>
      <w:r w:rsidR="009D7B02">
        <w:t>platform  enumerate</w:t>
      </w:r>
      <w:r>
        <w:t>s</w:t>
      </w:r>
      <w:r w:rsidR="009D7B02">
        <w:t xml:space="preserve"> its error sources</w:t>
      </w:r>
      <w:r w:rsidR="00E17CCE">
        <w:t xml:space="preserve">, including </w:t>
      </w:r>
      <w:r w:rsidR="00EB2F44">
        <w:t>the</w:t>
      </w:r>
      <w:r w:rsidR="00E17CCE">
        <w:t xml:space="preserve"> generic error source</w:t>
      </w:r>
      <w:r>
        <w:t xml:space="preserve">, </w:t>
      </w:r>
      <w:r w:rsidR="00E37A92">
        <w:t xml:space="preserve">by </w:t>
      </w:r>
      <w:r>
        <w:t xml:space="preserve">using the </w:t>
      </w:r>
      <w:r w:rsidR="00083EF8">
        <w:t xml:space="preserve">ACPI </w:t>
      </w:r>
      <w:r>
        <w:t xml:space="preserve">hardware error source table </w:t>
      </w:r>
      <w:r w:rsidR="001B2F5A">
        <w:t>(</w:t>
      </w:r>
      <w:r>
        <w:t>HEST</w:t>
      </w:r>
      <w:r w:rsidR="001B2F5A">
        <w:t xml:space="preserve">). The HEST is described in </w:t>
      </w:r>
      <w:r w:rsidR="00083EF8">
        <w:t xml:space="preserve">Table 4.1 of the </w:t>
      </w:r>
      <w:r w:rsidR="001B2F5A">
        <w:t xml:space="preserve">WHEA </w:t>
      </w:r>
      <w:r w:rsidR="00CD51BA">
        <w:t xml:space="preserve">Platform </w:t>
      </w:r>
      <w:r w:rsidR="00083EF8">
        <w:t>D</w:t>
      </w:r>
      <w:r w:rsidR="001B2F5A">
        <w:t xml:space="preserve">esign </w:t>
      </w:r>
      <w:r w:rsidR="00083EF8">
        <w:t>G</w:t>
      </w:r>
      <w:r w:rsidR="001B2F5A">
        <w:t xml:space="preserve">uide </w:t>
      </w:r>
      <w:r w:rsidR="00AE5DB0">
        <w:t>and</w:t>
      </w:r>
      <w:r w:rsidR="00083EF8">
        <w:t xml:space="preserve"> </w:t>
      </w:r>
      <w:r w:rsidR="00CD51BA">
        <w:t xml:space="preserve">in </w:t>
      </w:r>
      <w:r w:rsidR="00083EF8">
        <w:t xml:space="preserve">Table 17.3 of the </w:t>
      </w:r>
      <w:r w:rsidR="001B2F5A">
        <w:t xml:space="preserve">ACPI </w:t>
      </w:r>
      <w:r w:rsidR="00083EF8">
        <w:t>specification</w:t>
      </w:r>
      <w:r w:rsidR="00E37A92">
        <w:t>,</w:t>
      </w:r>
      <w:r w:rsidR="00083EF8">
        <w:t xml:space="preserve"> revision </w:t>
      </w:r>
      <w:r w:rsidR="001B2F5A">
        <w:t>4.0</w:t>
      </w:r>
      <w:r w:rsidR="009D7B02">
        <w:t xml:space="preserve">. </w:t>
      </w:r>
      <w:r w:rsidR="00CD39CC">
        <w:t>The platform uses a</w:t>
      </w:r>
      <w:r w:rsidR="009D7B02">
        <w:t xml:space="preserve"> generic error source to implement </w:t>
      </w:r>
      <w:r w:rsidR="00E17CCE">
        <w:t>one or more of the following</w:t>
      </w:r>
      <w:r w:rsidR="00EB2F44">
        <w:t xml:space="preserve"> types of error sources</w:t>
      </w:r>
      <w:r w:rsidR="009D7B02">
        <w:t>:</w:t>
      </w:r>
    </w:p>
    <w:p w:rsidR="009D7B02" w:rsidRDefault="009D7B02" w:rsidP="00EB2F44">
      <w:pPr>
        <w:pStyle w:val="BulletList"/>
      </w:pPr>
      <w:r>
        <w:t xml:space="preserve">An error source that notifies the </w:t>
      </w:r>
      <w:r w:rsidR="00E17CCE">
        <w:t>operating system</w:t>
      </w:r>
      <w:r>
        <w:t xml:space="preserve"> of the presence of an error </w:t>
      </w:r>
      <w:r w:rsidR="00E17CCE">
        <w:t xml:space="preserve">condition </w:t>
      </w:r>
      <w:r w:rsidR="00E37A92">
        <w:t xml:space="preserve">by </w:t>
      </w:r>
      <w:r>
        <w:t>using a nonstandard notification mechanism</w:t>
      </w:r>
      <w:r w:rsidR="00EB2F44">
        <w:t>. F</w:t>
      </w:r>
      <w:r w:rsidR="00E17CCE">
        <w:t xml:space="preserve">or example, </w:t>
      </w:r>
      <w:r w:rsidR="00EB2F44">
        <w:t xml:space="preserve">such an error source might </w:t>
      </w:r>
      <w:r w:rsidR="00E17CCE">
        <w:t>us</w:t>
      </w:r>
      <w:r w:rsidR="00EB2F44">
        <w:t>e</w:t>
      </w:r>
      <w:r w:rsidR="00E17CCE">
        <w:t xml:space="preserve"> a</w:t>
      </w:r>
      <w:r>
        <w:t xml:space="preserve"> </w:t>
      </w:r>
      <w:r w:rsidR="00E37A92">
        <w:t>s</w:t>
      </w:r>
      <w:r>
        <w:t xml:space="preserve">ystem </w:t>
      </w:r>
      <w:r w:rsidR="00E37A92">
        <w:t>c</w:t>
      </w:r>
      <w:r>
        <w:t xml:space="preserve">ontrol </w:t>
      </w:r>
      <w:r w:rsidR="00E37A92">
        <w:t>i</w:t>
      </w:r>
      <w:r>
        <w:t>nterrupt</w:t>
      </w:r>
      <w:r w:rsidR="00EB2F44">
        <w:t xml:space="preserve"> (SCI)</w:t>
      </w:r>
      <w:r w:rsidR="00E17CCE">
        <w:t>.</w:t>
      </w:r>
    </w:p>
    <w:p w:rsidR="009D7B02" w:rsidRDefault="00EB2F44" w:rsidP="00EB2F44">
      <w:pPr>
        <w:pStyle w:val="BulletList"/>
      </w:pPr>
      <w:r>
        <w:t xml:space="preserve">An error source </w:t>
      </w:r>
      <w:r w:rsidR="00CD39CC">
        <w:t xml:space="preserve">in which </w:t>
      </w:r>
      <w:r>
        <w:t>the</w:t>
      </w:r>
      <w:r w:rsidR="009D7B02">
        <w:t xml:space="preserve"> information </w:t>
      </w:r>
      <w:r>
        <w:t xml:space="preserve">that is associated with an error condition is </w:t>
      </w:r>
      <w:r w:rsidR="009D7B02">
        <w:t>encoded in a nonstandard format</w:t>
      </w:r>
      <w:r>
        <w:rPr>
          <w:rStyle w:val="CommentReference"/>
        </w:rPr>
        <w:t>.</w:t>
      </w:r>
    </w:p>
    <w:p w:rsidR="009D7B02" w:rsidRDefault="00EB2F44" w:rsidP="00EB2F44">
      <w:pPr>
        <w:pStyle w:val="BulletList"/>
      </w:pPr>
      <w:r>
        <w:lastRenderedPageBreak/>
        <w:t>A</w:t>
      </w:r>
      <w:r w:rsidR="009D7B02">
        <w:t xml:space="preserve">n error source for which the platform implements </w:t>
      </w:r>
      <w:r>
        <w:t>firmware-first handling of an error condition.</w:t>
      </w:r>
    </w:p>
    <w:p w:rsidR="00EB2F44" w:rsidRDefault="00EB2F44" w:rsidP="00EB2F44">
      <w:pPr>
        <w:pStyle w:val="Le"/>
      </w:pPr>
    </w:p>
    <w:p w:rsidR="00101718" w:rsidRDefault="00AA16D4" w:rsidP="002D72CD">
      <w:pPr>
        <w:pStyle w:val="BodyText"/>
      </w:pPr>
      <w:r>
        <w:t>The implementation of a g</w:t>
      </w:r>
      <w:r w:rsidR="009D7B02">
        <w:t xml:space="preserve">eneric error source relies on a block of memory </w:t>
      </w:r>
      <w:r>
        <w:t xml:space="preserve">that is shared </w:t>
      </w:r>
      <w:r w:rsidR="009D7B02">
        <w:t>between the</w:t>
      </w:r>
      <w:r>
        <w:t xml:space="preserve"> platform and Windows.</w:t>
      </w:r>
      <w:r w:rsidR="009D7B02">
        <w:t xml:space="preserve"> </w:t>
      </w:r>
      <w:r>
        <w:t>This block of memory is</w:t>
      </w:r>
      <w:r w:rsidR="009D7B02">
        <w:t xml:space="preserve"> called the error status block (ESB). The platform </w:t>
      </w:r>
      <w:r>
        <w:t>must allocate</w:t>
      </w:r>
      <w:r w:rsidR="009D7B02">
        <w:t xml:space="preserve"> </w:t>
      </w:r>
      <w:r>
        <w:t>the</w:t>
      </w:r>
      <w:r w:rsidR="009D7B02">
        <w:t xml:space="preserve"> memory </w:t>
      </w:r>
      <w:r>
        <w:t>for</w:t>
      </w:r>
      <w:r w:rsidR="009D7B02">
        <w:t xml:space="preserve"> the ESB</w:t>
      </w:r>
      <w:r>
        <w:t xml:space="preserve"> during system startup</w:t>
      </w:r>
      <w:r w:rsidR="00272C32">
        <w:t>, before the operating system is started</w:t>
      </w:r>
      <w:r>
        <w:t>. T</w:t>
      </w:r>
      <w:r w:rsidR="009D7B02">
        <w:t xml:space="preserve">his memory should be marked as </w:t>
      </w:r>
      <w:r w:rsidR="009D7B02" w:rsidRPr="00AA16D4">
        <w:rPr>
          <w:i/>
        </w:rPr>
        <w:t>firmware reserved</w:t>
      </w:r>
      <w:r w:rsidR="009D7B02">
        <w:t xml:space="preserve"> in the</w:t>
      </w:r>
      <w:r>
        <w:t xml:space="preserve"> </w:t>
      </w:r>
      <w:r w:rsidR="009D7B02">
        <w:t>memory map</w:t>
      </w:r>
      <w:r>
        <w:t>, which</w:t>
      </w:r>
      <w:r w:rsidR="009D7B02">
        <w:t xml:space="preserve"> prevents the </w:t>
      </w:r>
      <w:r>
        <w:t>Windows</w:t>
      </w:r>
      <w:r w:rsidR="009D7B02">
        <w:t xml:space="preserve"> </w:t>
      </w:r>
      <w:r w:rsidR="00E37A92">
        <w:t>m</w:t>
      </w:r>
      <w:r w:rsidR="009D7B02">
        <w:t xml:space="preserve">emory </w:t>
      </w:r>
      <w:r w:rsidR="00E37A92">
        <w:t>m</w:t>
      </w:r>
      <w:r w:rsidR="009D7B02">
        <w:t xml:space="preserve">anager from using this memory for </w:t>
      </w:r>
      <w:r>
        <w:t xml:space="preserve">any </w:t>
      </w:r>
      <w:r w:rsidR="009D7B02">
        <w:t xml:space="preserve">other </w:t>
      </w:r>
      <w:r>
        <w:t>purpose</w:t>
      </w:r>
      <w:r w:rsidR="009D7B02">
        <w:t xml:space="preserve">. WHEA obtains the </w:t>
      </w:r>
      <w:r>
        <w:t xml:space="preserve">information it needs </w:t>
      </w:r>
      <w:r w:rsidR="009D7B02">
        <w:t>to access the ESB from the Generic Hardware Error Source Structure</w:t>
      </w:r>
      <w:r w:rsidR="001B2F5A">
        <w:t xml:space="preserve"> that is in the HEST</w:t>
      </w:r>
      <w:r w:rsidR="00272C32">
        <w:t xml:space="preserve">. This structure is described in </w:t>
      </w:r>
      <w:r w:rsidR="009D7B02">
        <w:t xml:space="preserve">Table 4-12 </w:t>
      </w:r>
      <w:r w:rsidR="00C1266D">
        <w:t xml:space="preserve">of the WHEA </w:t>
      </w:r>
      <w:r w:rsidR="00CD51BA">
        <w:t>Platform Design Guide</w:t>
      </w:r>
      <w:r w:rsidR="009D7B02">
        <w:t xml:space="preserve"> </w:t>
      </w:r>
      <w:r w:rsidR="00E37A92">
        <w:t xml:space="preserve">and </w:t>
      </w:r>
      <w:r w:rsidR="00272C32">
        <w:t>in Table 17-11 of the</w:t>
      </w:r>
      <w:r w:rsidR="009D7B02">
        <w:t xml:space="preserve"> ACPI specification</w:t>
      </w:r>
      <w:r w:rsidR="00E37A92">
        <w:t>,</w:t>
      </w:r>
      <w:r w:rsidR="00272C32">
        <w:t xml:space="preserve"> revision</w:t>
      </w:r>
      <w:r w:rsidR="009D7B02">
        <w:t xml:space="preserve"> 4.0. This </w:t>
      </w:r>
      <w:r w:rsidR="00C1266D">
        <w:t>structure</w:t>
      </w:r>
      <w:r w:rsidR="009D7B02">
        <w:t xml:space="preserve"> specifies </w:t>
      </w:r>
      <w:r w:rsidR="00C1266D">
        <w:t xml:space="preserve">where WHEA can obtain </w:t>
      </w:r>
      <w:r w:rsidR="009D7B02">
        <w:t>the 64</w:t>
      </w:r>
      <w:r w:rsidR="00C1266D">
        <w:noBreakHyphen/>
      </w:r>
      <w:r w:rsidR="009D7B02">
        <w:t xml:space="preserve">bit physical </w:t>
      </w:r>
      <w:r w:rsidR="00EA5D63">
        <w:t xml:space="preserve">memory </w:t>
      </w:r>
      <w:r w:rsidR="009D7B02">
        <w:t>location of the ESB</w:t>
      </w:r>
      <w:r w:rsidR="00EA5D63">
        <w:t xml:space="preserve"> </w:t>
      </w:r>
      <w:r w:rsidR="00E37A92">
        <w:t xml:space="preserve">and </w:t>
      </w:r>
      <w:r w:rsidR="00EA5D63">
        <w:t>the</w:t>
      </w:r>
      <w:r w:rsidR="009D7B02">
        <w:t xml:space="preserve"> </w:t>
      </w:r>
      <w:r w:rsidR="00F704E8">
        <w:t>length</w:t>
      </w:r>
      <w:r w:rsidR="00C1266D">
        <w:t xml:space="preserve"> of the </w:t>
      </w:r>
      <w:r w:rsidR="009D7B02">
        <w:t>ESB</w:t>
      </w:r>
      <w:r w:rsidR="00C1266D">
        <w:t>.</w:t>
      </w:r>
    </w:p>
    <w:p w:rsidR="009D7B02" w:rsidRDefault="00101718" w:rsidP="002D72CD">
      <w:pPr>
        <w:pStyle w:val="BodyText"/>
      </w:pPr>
      <w:r w:rsidRPr="00101718">
        <w:rPr>
          <w:b/>
        </w:rPr>
        <w:t xml:space="preserve">Note: </w:t>
      </w:r>
      <w:r>
        <w:t>T</w:t>
      </w:r>
      <w:r w:rsidR="001309E1">
        <w:t>here are t</w:t>
      </w:r>
      <w:r>
        <w:t xml:space="preserve">wo levels of indirection </w:t>
      </w:r>
      <w:r w:rsidR="001309E1">
        <w:t xml:space="preserve">to </w:t>
      </w:r>
      <w:r w:rsidR="00E37A92">
        <w:t xml:space="preserve">obtain </w:t>
      </w:r>
      <w:r w:rsidR="001309E1">
        <w:t xml:space="preserve">the physical address of the ESB </w:t>
      </w:r>
      <w:r>
        <w:t xml:space="preserve">from the Generic Hardware Error Source Structure </w:t>
      </w:r>
      <w:r w:rsidR="00E37A92">
        <w:t xml:space="preserve">because </w:t>
      </w:r>
      <w:r>
        <w:t xml:space="preserve">the </w:t>
      </w:r>
      <w:r w:rsidR="001309E1">
        <w:t xml:space="preserve">address </w:t>
      </w:r>
      <w:r>
        <w:t xml:space="preserve">information in the </w:t>
      </w:r>
      <w:r w:rsidR="001309E1">
        <w:t xml:space="preserve">Error Status Address field of the </w:t>
      </w:r>
      <w:r>
        <w:t>structure points to a 64-bit register and the contents of that register points to the physical location of the ESB.</w:t>
      </w:r>
    </w:p>
    <w:p w:rsidR="002D72CD" w:rsidRDefault="002D72CD" w:rsidP="002D72CD">
      <w:pPr>
        <w:pStyle w:val="Heading1"/>
      </w:pPr>
      <w:bookmarkStart w:id="4" w:name="_Toc257367078"/>
      <w:r>
        <w:t>Error Status Block</w:t>
      </w:r>
      <w:bookmarkEnd w:id="4"/>
    </w:p>
    <w:p w:rsidR="00F704E8" w:rsidRDefault="00CD3481" w:rsidP="00CD3481">
      <w:pPr>
        <w:pStyle w:val="BodyText"/>
      </w:pPr>
      <w:r>
        <w:t xml:space="preserve">The format of the </w:t>
      </w:r>
      <w:r w:rsidR="00CD39CC">
        <w:t xml:space="preserve">ESB </w:t>
      </w:r>
      <w:r>
        <w:t xml:space="preserve">is </w:t>
      </w:r>
      <w:r w:rsidR="00F704E8">
        <w:t>described</w:t>
      </w:r>
      <w:r>
        <w:t xml:space="preserve"> in </w:t>
      </w:r>
      <w:r w:rsidR="00F704E8">
        <w:t>T</w:t>
      </w:r>
      <w:r>
        <w:t xml:space="preserve">able 4-13 of the WHEA </w:t>
      </w:r>
      <w:r w:rsidR="00CD51BA">
        <w:t>Platform Design Guide</w:t>
      </w:r>
      <w:r>
        <w:t xml:space="preserve"> </w:t>
      </w:r>
      <w:r w:rsidR="00E37A92">
        <w:t xml:space="preserve">and </w:t>
      </w:r>
      <w:r w:rsidR="00F704E8">
        <w:t>in T</w:t>
      </w:r>
      <w:r>
        <w:t xml:space="preserve">able 17-12 </w:t>
      </w:r>
      <w:r w:rsidR="00F704E8">
        <w:t>of the</w:t>
      </w:r>
      <w:r>
        <w:t xml:space="preserve"> ACPI </w:t>
      </w:r>
      <w:r w:rsidR="00F704E8">
        <w:t>specification</w:t>
      </w:r>
      <w:r w:rsidR="002B4165">
        <w:t>,</w:t>
      </w:r>
      <w:r w:rsidR="00F704E8">
        <w:t xml:space="preserve"> revision </w:t>
      </w:r>
      <w:r>
        <w:t xml:space="preserve">4.0. </w:t>
      </w:r>
      <w:r w:rsidR="002B4165">
        <w:t xml:space="preserve">This paper </w:t>
      </w:r>
      <w:r w:rsidR="00F704E8">
        <w:t>discuss</w:t>
      </w:r>
      <w:r w:rsidR="002B4165">
        <w:t>es</w:t>
      </w:r>
      <w:r w:rsidR="00F704E8">
        <w:t xml:space="preserve"> the semantics of the format </w:t>
      </w:r>
      <w:r w:rsidR="006B3DF0">
        <w:t xml:space="preserve">of the </w:t>
      </w:r>
      <w:r w:rsidR="002B4165">
        <w:t xml:space="preserve">ESB </w:t>
      </w:r>
      <w:r w:rsidR="00F704E8">
        <w:t xml:space="preserve">rather than </w:t>
      </w:r>
      <w:r w:rsidR="006B3DF0">
        <w:t>the details about each field.</w:t>
      </w:r>
    </w:p>
    <w:p w:rsidR="00CD3481" w:rsidRDefault="00CD3481" w:rsidP="006B3DF0">
      <w:pPr>
        <w:pStyle w:val="BodyTextLink"/>
      </w:pPr>
      <w:r>
        <w:t xml:space="preserve">Figure 1 shows the </w:t>
      </w:r>
      <w:r w:rsidR="006B3DF0">
        <w:t>layout</w:t>
      </w:r>
      <w:r>
        <w:t xml:space="preserve"> of the ESB</w:t>
      </w:r>
      <w:r w:rsidR="006B3DF0">
        <w:t xml:space="preserve"> in memory</w:t>
      </w:r>
      <w:r>
        <w:t xml:space="preserve">. </w:t>
      </w:r>
      <w:r w:rsidR="006B3DF0">
        <w:t>Note</w:t>
      </w:r>
      <w:r>
        <w:t xml:space="preserve"> that the ESB is reused every time </w:t>
      </w:r>
      <w:r w:rsidR="006B3DF0">
        <w:t xml:space="preserve">that </w:t>
      </w:r>
      <w:r w:rsidR="002B4165">
        <w:t xml:space="preserve">the generic error source reports </w:t>
      </w:r>
      <w:r w:rsidR="006B3DF0">
        <w:t>an error to WHEA.</w:t>
      </w:r>
    </w:p>
    <w:p w:rsidR="00CD3481" w:rsidRDefault="00223C71" w:rsidP="00CD3481">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223.5pt">
            <v:imagedata r:id="rId8" o:title=""/>
          </v:shape>
        </w:pict>
      </w:r>
    </w:p>
    <w:p w:rsidR="00CD3481" w:rsidRDefault="006B3DF0" w:rsidP="006B3DF0">
      <w:pPr>
        <w:pStyle w:val="FigCap"/>
      </w:pPr>
      <w:r>
        <w:t xml:space="preserve">Figure 1. Generic </w:t>
      </w:r>
      <w:r w:rsidR="002B4165">
        <w:t>e</w:t>
      </w:r>
      <w:r>
        <w:t xml:space="preserve">rror </w:t>
      </w:r>
      <w:r w:rsidR="002B4165">
        <w:t>s</w:t>
      </w:r>
      <w:r>
        <w:t xml:space="preserve">ource </w:t>
      </w:r>
      <w:r w:rsidR="001309E1">
        <w:t>ESB</w:t>
      </w:r>
    </w:p>
    <w:p w:rsidR="006B3DF0" w:rsidRDefault="006B3DF0" w:rsidP="006B3DF0">
      <w:pPr>
        <w:pStyle w:val="BodyTextLink"/>
      </w:pPr>
      <w:r>
        <w:lastRenderedPageBreak/>
        <w:t xml:space="preserve">Figure 2 shows the layout of the ESB </w:t>
      </w:r>
      <w:r w:rsidR="002B4165">
        <w:t xml:space="preserve">if </w:t>
      </w:r>
      <w:r>
        <w:t xml:space="preserve">no raw data </w:t>
      </w:r>
      <w:r w:rsidR="002B4165">
        <w:t xml:space="preserve">is </w:t>
      </w:r>
      <w:r>
        <w:t>associated with the generic error source.</w:t>
      </w:r>
    </w:p>
    <w:p w:rsidR="006B3DF0" w:rsidRPr="006B3DF0" w:rsidRDefault="00223C71" w:rsidP="006B3DF0">
      <w:pPr>
        <w:pStyle w:val="BodyText"/>
        <w:jc w:val="right"/>
      </w:pPr>
      <w:r>
        <w:pict>
          <v:shape id="_x0000_i1026" type="#_x0000_t75" style="width:333.75pt;height:164.25pt">
            <v:imagedata r:id="rId9" o:title=""/>
          </v:shape>
        </w:pict>
      </w:r>
    </w:p>
    <w:p w:rsidR="002D72CD" w:rsidRDefault="006B3DF0" w:rsidP="006B3DF0">
      <w:pPr>
        <w:pStyle w:val="FigCap"/>
      </w:pPr>
      <w:r>
        <w:t xml:space="preserve">Figure 2. Generic </w:t>
      </w:r>
      <w:r w:rsidR="002B4165">
        <w:t>e</w:t>
      </w:r>
      <w:r>
        <w:t xml:space="preserve">rror </w:t>
      </w:r>
      <w:r w:rsidR="002B4165">
        <w:t>s</w:t>
      </w:r>
      <w:r>
        <w:t xml:space="preserve">ource </w:t>
      </w:r>
      <w:r w:rsidR="00CD39CC">
        <w:t>ESB that has</w:t>
      </w:r>
      <w:r>
        <w:t xml:space="preserve"> </w:t>
      </w:r>
      <w:r w:rsidR="002B4165">
        <w:t>n</w:t>
      </w:r>
      <w:r>
        <w:t xml:space="preserve">o </w:t>
      </w:r>
      <w:r w:rsidR="002B4165">
        <w:t>r</w:t>
      </w:r>
      <w:r>
        <w:t xml:space="preserve">aw </w:t>
      </w:r>
      <w:r w:rsidR="002B4165">
        <w:t>d</w:t>
      </w:r>
      <w:r>
        <w:t>ata</w:t>
      </w:r>
    </w:p>
    <w:p w:rsidR="006C515E" w:rsidRDefault="00262AE9">
      <w:pPr>
        <w:pStyle w:val="BodyTextLink"/>
      </w:pPr>
      <w:r>
        <w:t>The following provides information about each ESB field that will help you to correctly implement a generic error source.</w:t>
      </w:r>
    </w:p>
    <w:p w:rsidR="00262AE9" w:rsidRDefault="00262AE9" w:rsidP="00262AE9">
      <w:pPr>
        <w:pStyle w:val="DT"/>
      </w:pPr>
      <w:r>
        <w:t>Block Status</w:t>
      </w:r>
    </w:p>
    <w:p w:rsidR="005E4245" w:rsidRDefault="005E4245" w:rsidP="00C10B95">
      <w:pPr>
        <w:pStyle w:val="DL"/>
      </w:pPr>
      <w:r>
        <w:t xml:space="preserve">The </w:t>
      </w:r>
      <w:r w:rsidR="00BA6E9F">
        <w:t>B</w:t>
      </w:r>
      <w:r>
        <w:t xml:space="preserve">lock </w:t>
      </w:r>
      <w:r w:rsidR="00BA6E9F">
        <w:t>S</w:t>
      </w:r>
      <w:r>
        <w:t xml:space="preserve">tatus </w:t>
      </w:r>
      <w:r w:rsidR="00BA6E9F">
        <w:t xml:space="preserve">field </w:t>
      </w:r>
      <w:r>
        <w:t>indicates what kind of error is reported in the ESB. The ESB always reports a single correctable or uncorrectable error condition. However, bit</w:t>
      </w:r>
      <w:r w:rsidR="00C10B95">
        <w:t xml:space="preserve">s </w:t>
      </w:r>
      <w:r>
        <w:t xml:space="preserve">in the block status </w:t>
      </w:r>
      <w:r w:rsidR="002B4165">
        <w:t xml:space="preserve">also </w:t>
      </w:r>
      <w:r>
        <w:t>indicat</w:t>
      </w:r>
      <w:r w:rsidR="002B4165">
        <w:t>e</w:t>
      </w:r>
      <w:r>
        <w:t xml:space="preserve"> multiple correctable or uncorrectable errors</w:t>
      </w:r>
      <w:r w:rsidR="00D04566">
        <w:t>.</w:t>
      </w:r>
      <w:r>
        <w:t xml:space="preserve"> </w:t>
      </w:r>
      <w:r w:rsidR="00D04566">
        <w:t>These bits</w:t>
      </w:r>
      <w:r w:rsidR="002B4165">
        <w:t xml:space="preserve"> </w:t>
      </w:r>
      <w:r>
        <w:t xml:space="preserve">are </w:t>
      </w:r>
      <w:r w:rsidR="002B4165">
        <w:t xml:space="preserve">only </w:t>
      </w:r>
      <w:r>
        <w:t xml:space="preserve">for informational use. For every generic error notification that the platform sends to </w:t>
      </w:r>
      <w:r w:rsidR="00BA6E9F">
        <w:t>Windows</w:t>
      </w:r>
      <w:r>
        <w:t>, the error information that is reported in the ESB result</w:t>
      </w:r>
      <w:r w:rsidR="002B4165">
        <w:t>s</w:t>
      </w:r>
      <w:r>
        <w:t xml:space="preserve"> in a single error record</w:t>
      </w:r>
      <w:r w:rsidR="00C10B95">
        <w:t xml:space="preserve">, </w:t>
      </w:r>
      <w:r>
        <w:t xml:space="preserve">regardless of the </w:t>
      </w:r>
      <w:r w:rsidR="00C10B95">
        <w:t xml:space="preserve">state of the </w:t>
      </w:r>
      <w:r>
        <w:t xml:space="preserve">multiple error </w:t>
      </w:r>
      <w:r w:rsidR="00C10B95">
        <w:t>bits</w:t>
      </w:r>
      <w:r>
        <w:t xml:space="preserve">. The number of </w:t>
      </w:r>
      <w:r w:rsidR="006C0765">
        <w:t xml:space="preserve">generic </w:t>
      </w:r>
      <w:r>
        <w:t xml:space="preserve">error data entries in the ESB is </w:t>
      </w:r>
      <w:r w:rsidR="00C10B95">
        <w:t xml:space="preserve">also </w:t>
      </w:r>
      <w:r>
        <w:t xml:space="preserve">encoded in the </w:t>
      </w:r>
      <w:r w:rsidR="00BA6E9F">
        <w:t>B</w:t>
      </w:r>
      <w:r>
        <w:t xml:space="preserve">lock </w:t>
      </w:r>
      <w:r w:rsidR="00BA6E9F">
        <w:t>S</w:t>
      </w:r>
      <w:r>
        <w:t xml:space="preserve">tatus field. When an error is reported in the ESB, there </w:t>
      </w:r>
      <w:r w:rsidR="00C10B95">
        <w:t>must</w:t>
      </w:r>
      <w:r>
        <w:t xml:space="preserve"> be at least one generic error data entry in the ESB</w:t>
      </w:r>
      <w:r w:rsidR="00C10B95">
        <w:t xml:space="preserve">. </w:t>
      </w:r>
      <w:r w:rsidR="00BA6E9F">
        <w:t>The format of the Block Status field is describe</w:t>
      </w:r>
      <w:r w:rsidR="00C330FF">
        <w:t>d</w:t>
      </w:r>
      <w:r w:rsidR="00BA6E9F">
        <w:t xml:space="preserve"> in</w:t>
      </w:r>
      <w:r w:rsidR="00C10B95">
        <w:t xml:space="preserve"> </w:t>
      </w:r>
      <w:r>
        <w:t xml:space="preserve">Table 4-13 </w:t>
      </w:r>
      <w:r w:rsidR="00C330FF">
        <w:t>of</w:t>
      </w:r>
      <w:r>
        <w:t xml:space="preserve"> the WHEA </w:t>
      </w:r>
      <w:r w:rsidR="00CD51BA">
        <w:t>Platform Design Guide</w:t>
      </w:r>
      <w:r>
        <w:t xml:space="preserve"> </w:t>
      </w:r>
      <w:r w:rsidR="002B4165">
        <w:t xml:space="preserve">and </w:t>
      </w:r>
      <w:r w:rsidR="00C330FF">
        <w:t>in</w:t>
      </w:r>
      <w:r>
        <w:t xml:space="preserve"> </w:t>
      </w:r>
      <w:r w:rsidR="00C10B95">
        <w:t>T</w:t>
      </w:r>
      <w:r>
        <w:t xml:space="preserve">able 17-12 </w:t>
      </w:r>
      <w:r w:rsidR="00C330FF">
        <w:t>of</w:t>
      </w:r>
      <w:r>
        <w:t xml:space="preserve"> </w:t>
      </w:r>
      <w:r w:rsidR="00C10B95">
        <w:t xml:space="preserve">the </w:t>
      </w:r>
      <w:r>
        <w:t xml:space="preserve">ACPI </w:t>
      </w:r>
      <w:r w:rsidR="00C10B95">
        <w:t>specification</w:t>
      </w:r>
      <w:r w:rsidR="002B4165">
        <w:t>,</w:t>
      </w:r>
      <w:r w:rsidR="00C10B95">
        <w:t xml:space="preserve"> revision 4.0.</w:t>
      </w:r>
    </w:p>
    <w:p w:rsidR="005E4245" w:rsidRPr="00E845CC" w:rsidRDefault="005E4245" w:rsidP="005E4245">
      <w:pPr>
        <w:pStyle w:val="DL"/>
      </w:pPr>
      <w:r w:rsidRPr="007F1785">
        <w:rPr>
          <w:b/>
          <w:bCs/>
        </w:rPr>
        <w:t>Note</w:t>
      </w:r>
      <w:r>
        <w:t xml:space="preserve">: </w:t>
      </w:r>
      <w:r w:rsidR="002B4165">
        <w:t>A</w:t>
      </w:r>
      <w:r>
        <w:t xml:space="preserve">n error </w:t>
      </w:r>
      <w:r w:rsidR="002B4165">
        <w:t xml:space="preserve">exists </w:t>
      </w:r>
      <w:r>
        <w:t xml:space="preserve">in </w:t>
      </w:r>
      <w:r w:rsidR="006A1FA4">
        <w:t xml:space="preserve">earlier versions of </w:t>
      </w:r>
      <w:r>
        <w:t xml:space="preserve">the WHEA </w:t>
      </w:r>
      <w:r w:rsidR="00CD51BA">
        <w:t>Platform Design Guide</w:t>
      </w:r>
      <w:r>
        <w:t xml:space="preserve"> and in section 17.3.2.6.1 of the ACPI specification</w:t>
      </w:r>
      <w:r w:rsidR="002B4165">
        <w:t>,</w:t>
      </w:r>
      <w:r>
        <w:t xml:space="preserve"> revision 4.0. Both documents state that </w:t>
      </w:r>
      <w:r w:rsidR="002B4165">
        <w:t xml:space="preserve">the ESB can contain </w:t>
      </w:r>
      <w:r>
        <w:t xml:space="preserve">zero generic error data entries. This information is </w:t>
      </w:r>
      <w:r w:rsidR="00C10B95">
        <w:t>in</w:t>
      </w:r>
      <w:r>
        <w:t xml:space="preserve">correct. </w:t>
      </w:r>
      <w:r w:rsidR="002B4165">
        <w:t xml:space="preserve">The ESB must contain </w:t>
      </w:r>
      <w:r>
        <w:t>at least one generic error data entry.</w:t>
      </w:r>
    </w:p>
    <w:p w:rsidR="00262AE9" w:rsidRDefault="00262AE9" w:rsidP="00262AE9">
      <w:pPr>
        <w:pStyle w:val="DT"/>
      </w:pPr>
      <w:r>
        <w:t>Raw Data Offset</w:t>
      </w:r>
    </w:p>
    <w:p w:rsidR="006C0765" w:rsidRDefault="006C0765" w:rsidP="00C10B95">
      <w:pPr>
        <w:pStyle w:val="DL"/>
      </w:pPr>
      <w:r>
        <w:t xml:space="preserve">The </w:t>
      </w:r>
      <w:r w:rsidR="00C10B95">
        <w:t>Raw</w:t>
      </w:r>
      <w:r>
        <w:t xml:space="preserve"> </w:t>
      </w:r>
      <w:r w:rsidR="00C10B95">
        <w:t xml:space="preserve">Data </w:t>
      </w:r>
      <w:r>
        <w:t xml:space="preserve">field </w:t>
      </w:r>
      <w:r w:rsidR="00C10B95">
        <w:t>is an optional field of the ESB that contains data that is opaque to Windows during error condition</w:t>
      </w:r>
      <w:r w:rsidR="00CD39CC">
        <w:t xml:space="preserve"> processing</w:t>
      </w:r>
      <w:r w:rsidR="00C10B95">
        <w:t xml:space="preserve">. This data </w:t>
      </w:r>
      <w:r w:rsidR="002B4165">
        <w:t xml:space="preserve">is </w:t>
      </w:r>
      <w:r w:rsidR="00C10B95">
        <w:t xml:space="preserve">included in the WHEA error packet in its original raw form. </w:t>
      </w:r>
      <w:r w:rsidR="00B4333E">
        <w:t xml:space="preserve">The Raw Data Offset field contains the offset from the start of the ESB to the start of the raw data. </w:t>
      </w:r>
      <w:r w:rsidR="00C10B95">
        <w:t xml:space="preserve">If </w:t>
      </w:r>
      <w:r w:rsidR="00CA4AD6">
        <w:t>r</w:t>
      </w:r>
      <w:r w:rsidR="00C10B95">
        <w:t xml:space="preserve">aw </w:t>
      </w:r>
      <w:r w:rsidR="00CA4AD6">
        <w:t>d</w:t>
      </w:r>
      <w:r w:rsidR="00C10B95">
        <w:t xml:space="preserve">ata is present in the ESB, it </w:t>
      </w:r>
      <w:r w:rsidR="00CA4AD6">
        <w:t xml:space="preserve">must </w:t>
      </w:r>
      <w:r w:rsidR="00C10B95">
        <w:t xml:space="preserve">follow all generic </w:t>
      </w:r>
      <w:r w:rsidR="00CA4AD6">
        <w:t xml:space="preserve">error </w:t>
      </w:r>
      <w:r w:rsidR="00C10B95">
        <w:t xml:space="preserve">data entries. </w:t>
      </w:r>
      <w:r>
        <w:t xml:space="preserve">In this situation, </w:t>
      </w:r>
      <w:r w:rsidR="00C10B95">
        <w:t xml:space="preserve">the </w:t>
      </w:r>
      <w:r>
        <w:t>R</w:t>
      </w:r>
      <w:r w:rsidR="00C10B95">
        <w:t xml:space="preserve">aw </w:t>
      </w:r>
      <w:r>
        <w:t>D</w:t>
      </w:r>
      <w:r w:rsidR="00C10B95">
        <w:t xml:space="preserve">ata </w:t>
      </w:r>
      <w:r>
        <w:t>O</w:t>
      </w:r>
      <w:r w:rsidR="00C10B95">
        <w:t xml:space="preserve">ffset </w:t>
      </w:r>
      <w:r>
        <w:t>field must</w:t>
      </w:r>
      <w:r w:rsidR="00C10B95">
        <w:t xml:space="preserve"> </w:t>
      </w:r>
      <w:r>
        <w:t xml:space="preserve">be at least </w:t>
      </w:r>
      <w:r w:rsidR="00C10B95">
        <w:t>Data Length + 20.</w:t>
      </w:r>
      <w:r>
        <w:t xml:space="preserve"> </w:t>
      </w:r>
      <w:r w:rsidR="00CA4AD6">
        <w:t>Note, h</w:t>
      </w:r>
      <w:r>
        <w:t xml:space="preserve">owever, </w:t>
      </w:r>
      <w:r w:rsidR="00CA4AD6">
        <w:t xml:space="preserve">that </w:t>
      </w:r>
      <w:r>
        <w:t xml:space="preserve">the </w:t>
      </w:r>
      <w:r w:rsidR="00CA4AD6">
        <w:t>r</w:t>
      </w:r>
      <w:r>
        <w:t xml:space="preserve">aw </w:t>
      </w:r>
      <w:r w:rsidR="00CA4AD6">
        <w:t>d</w:t>
      </w:r>
      <w:r>
        <w:t xml:space="preserve">ata </w:t>
      </w:r>
      <w:r w:rsidR="002B4165">
        <w:t xml:space="preserve">is </w:t>
      </w:r>
      <w:r>
        <w:t>n</w:t>
      </w:r>
      <w:r w:rsidR="00CA4AD6">
        <w:t>o</w:t>
      </w:r>
      <w:r>
        <w:t xml:space="preserve">t </w:t>
      </w:r>
      <w:r w:rsidR="002B4165">
        <w:t xml:space="preserve">required </w:t>
      </w:r>
      <w:r>
        <w:t>to immed</w:t>
      </w:r>
      <w:r w:rsidR="00CA4AD6">
        <w:t>iately follow the generic error data entries. This enables the platform to select the alignment of the raw data that is most convenient for the platform.</w:t>
      </w:r>
    </w:p>
    <w:p w:rsidR="00C10B95" w:rsidRDefault="00B4333E" w:rsidP="00B4333E">
      <w:pPr>
        <w:pStyle w:val="DL"/>
      </w:pPr>
      <w:r>
        <w:t>If no raw data is present in the ESB, the R</w:t>
      </w:r>
      <w:r w:rsidR="00C10B95">
        <w:t xml:space="preserve">aw </w:t>
      </w:r>
      <w:r>
        <w:t>D</w:t>
      </w:r>
      <w:r w:rsidR="00C10B95">
        <w:t xml:space="preserve">ata </w:t>
      </w:r>
      <w:r>
        <w:t>Offset and Raw Data L</w:t>
      </w:r>
      <w:r w:rsidR="00C10B95">
        <w:t>ength field</w:t>
      </w:r>
      <w:r>
        <w:t>s</w:t>
      </w:r>
      <w:r w:rsidR="00C10B95">
        <w:t xml:space="preserve"> </w:t>
      </w:r>
      <w:r w:rsidR="002B4165">
        <w:t xml:space="preserve">are </w:t>
      </w:r>
      <w:r w:rsidR="00C10B95">
        <w:t xml:space="preserve">both </w:t>
      </w:r>
      <w:r>
        <w:t xml:space="preserve">set to </w:t>
      </w:r>
      <w:r w:rsidR="00C10B95">
        <w:t>zero.</w:t>
      </w:r>
    </w:p>
    <w:p w:rsidR="00262AE9" w:rsidRDefault="00262AE9" w:rsidP="00262AE9">
      <w:pPr>
        <w:pStyle w:val="DT"/>
      </w:pPr>
      <w:r>
        <w:lastRenderedPageBreak/>
        <w:t>Raw Data Length</w:t>
      </w:r>
    </w:p>
    <w:p w:rsidR="00B4333E" w:rsidRDefault="00B4333E" w:rsidP="00B4333E">
      <w:pPr>
        <w:pStyle w:val="DL"/>
      </w:pPr>
      <w:r>
        <w:t xml:space="preserve">The length of the raw data </w:t>
      </w:r>
      <w:r w:rsidR="00BA6E9F">
        <w:t xml:space="preserve">must </w:t>
      </w:r>
      <w:r>
        <w:t xml:space="preserve">not exceed the value of the </w:t>
      </w:r>
      <w:r w:rsidRPr="00B4333E">
        <w:rPr>
          <w:bCs/>
        </w:rPr>
        <w:t>Max Raw Data Length</w:t>
      </w:r>
      <w:r w:rsidRPr="002161EE">
        <w:rPr>
          <w:b/>
          <w:bCs/>
        </w:rPr>
        <w:t xml:space="preserve"> </w:t>
      </w:r>
      <w:r>
        <w:t xml:space="preserve">field of the Generic Hardware Error Source Structure. In addition, the value of the Raw Data Offset field plus the value of the Raw Data Length field </w:t>
      </w:r>
      <w:r w:rsidR="00BA6E9F">
        <w:t>must not</w:t>
      </w:r>
      <w:r>
        <w:t xml:space="preserve"> exceed the </w:t>
      </w:r>
      <w:r w:rsidR="00BA6E9F">
        <w:t>value of the Error Status Block Length</w:t>
      </w:r>
      <w:r>
        <w:t xml:space="preserve"> </w:t>
      </w:r>
      <w:r w:rsidR="00BA6E9F">
        <w:t>field of the G</w:t>
      </w:r>
      <w:r>
        <w:t xml:space="preserve">eneric </w:t>
      </w:r>
      <w:r w:rsidR="00BA6E9F">
        <w:t>H</w:t>
      </w:r>
      <w:r>
        <w:t xml:space="preserve">ardware </w:t>
      </w:r>
      <w:r w:rsidR="00BA6E9F">
        <w:t>E</w:t>
      </w:r>
      <w:r>
        <w:t xml:space="preserve">rror </w:t>
      </w:r>
      <w:r w:rsidR="00BA6E9F">
        <w:t>S</w:t>
      </w:r>
      <w:r>
        <w:t xml:space="preserve">ource </w:t>
      </w:r>
      <w:r w:rsidR="00BA6E9F">
        <w:t>S</w:t>
      </w:r>
      <w:r>
        <w:t>tructure.</w:t>
      </w:r>
      <w:r w:rsidRPr="00A8785C">
        <w:t xml:space="preserve"> </w:t>
      </w:r>
      <w:r w:rsidR="00BA6E9F">
        <w:t xml:space="preserve">The Generic Hardware Error Source Structure is described in Table 4-12 of the WHEA </w:t>
      </w:r>
      <w:r w:rsidR="00CD51BA">
        <w:t>Platform Design Guide</w:t>
      </w:r>
      <w:r w:rsidR="00BA6E9F">
        <w:t xml:space="preserve"> </w:t>
      </w:r>
      <w:r w:rsidR="002B4165">
        <w:t xml:space="preserve">and </w:t>
      </w:r>
      <w:r w:rsidR="00BA6E9F">
        <w:t>in Table 17-11 of the ACPI specification</w:t>
      </w:r>
      <w:r w:rsidR="002B4165">
        <w:t>,</w:t>
      </w:r>
      <w:r w:rsidR="00BA6E9F">
        <w:t xml:space="preserve"> revision 4.0.</w:t>
      </w:r>
    </w:p>
    <w:p w:rsidR="00B4333E" w:rsidRDefault="00B4333E" w:rsidP="00B4333E">
      <w:pPr>
        <w:pStyle w:val="DL"/>
      </w:pPr>
      <w:r>
        <w:t xml:space="preserve">If no raw data is present in the ESB, the Raw Data Offset and Raw Data Length fields </w:t>
      </w:r>
      <w:r w:rsidR="002B4165">
        <w:t xml:space="preserve">are </w:t>
      </w:r>
      <w:r>
        <w:t>both set to zero.</w:t>
      </w:r>
    </w:p>
    <w:p w:rsidR="00262AE9" w:rsidRDefault="00262AE9" w:rsidP="00262AE9">
      <w:pPr>
        <w:pStyle w:val="DT"/>
      </w:pPr>
      <w:r>
        <w:t>Data Length</w:t>
      </w:r>
    </w:p>
    <w:p w:rsidR="00262AE9" w:rsidRDefault="00BA6E9F" w:rsidP="00BA6E9F">
      <w:pPr>
        <w:pStyle w:val="DL"/>
      </w:pPr>
      <w:r>
        <w:t xml:space="preserve">The Data Length field specifies the total size, in bytes, of all generic error data entries in the ESB. As previously stated, </w:t>
      </w:r>
      <w:r w:rsidR="00D04566">
        <w:t xml:space="preserve">the ESB must contain </w:t>
      </w:r>
      <w:r>
        <w:t>at least one generic error data entry when an error condition is reported to Windows.</w:t>
      </w:r>
    </w:p>
    <w:p w:rsidR="00262AE9" w:rsidRDefault="00262AE9" w:rsidP="00262AE9">
      <w:pPr>
        <w:pStyle w:val="DT"/>
      </w:pPr>
      <w:r>
        <w:t>Error Severity</w:t>
      </w:r>
    </w:p>
    <w:p w:rsidR="00262AE9" w:rsidRDefault="000204F8" w:rsidP="00262AE9">
      <w:pPr>
        <w:pStyle w:val="DL"/>
      </w:pPr>
      <w:r>
        <w:t xml:space="preserve">The Error Severity field of the ESB specifies the severity of the entire error event. Each generic error data entry in the ESB also includes an Error Severity field, which specifies the severity of the specific </w:t>
      </w:r>
      <w:r w:rsidR="00EA5D63">
        <w:t xml:space="preserve">error </w:t>
      </w:r>
      <w:r>
        <w:t>data in the generic error data entry.</w:t>
      </w:r>
    </w:p>
    <w:p w:rsidR="00262AE9" w:rsidRDefault="00262AE9" w:rsidP="00262AE9">
      <w:pPr>
        <w:pStyle w:val="DT"/>
      </w:pPr>
      <w:r>
        <w:t>Generic Error Data Entries</w:t>
      </w:r>
    </w:p>
    <w:p w:rsidR="00262AE9" w:rsidRDefault="00C330FF" w:rsidP="00262AE9">
      <w:pPr>
        <w:pStyle w:val="DL"/>
      </w:pPr>
      <w:r>
        <w:t xml:space="preserve">As previously stated, </w:t>
      </w:r>
      <w:r w:rsidR="00D04566">
        <w:t xml:space="preserve">the ESB must contain </w:t>
      </w:r>
      <w:r>
        <w:t xml:space="preserve">at least one generic error data entry when an error condition is reported to Windows. The format of the generic error data entries is described in Table 4-14 of the WHEA </w:t>
      </w:r>
      <w:r w:rsidR="00CD51BA">
        <w:t>Platform Design Guide</w:t>
      </w:r>
      <w:r>
        <w:t xml:space="preserve"> </w:t>
      </w:r>
      <w:r w:rsidR="002B4165">
        <w:t xml:space="preserve">and </w:t>
      </w:r>
      <w:r>
        <w:t>in Table 17-13 of the ACPI specification</w:t>
      </w:r>
      <w:r w:rsidR="002B4165">
        <w:t>,</w:t>
      </w:r>
      <w:r>
        <w:t xml:space="preserve"> revision 4.0. All generic error data entries </w:t>
      </w:r>
      <w:r w:rsidR="002B4165">
        <w:t xml:space="preserve">are </w:t>
      </w:r>
      <w:r>
        <w:t xml:space="preserve">reported in a single WHEA error record. The ability to include multiple generic error data entries for a single error condition enables the platform to include information from related components that are relevant to the error in the ESB. For example, if a PCI device indicates an error condition, the platform </w:t>
      </w:r>
      <w:r w:rsidR="00C704EC">
        <w:t>could</w:t>
      </w:r>
      <w:r>
        <w:t xml:space="preserve"> </w:t>
      </w:r>
      <w:r w:rsidR="00C704EC">
        <w:t xml:space="preserve">use a separate generic error data entry to </w:t>
      </w:r>
      <w:r>
        <w:t xml:space="preserve">include information </w:t>
      </w:r>
      <w:r w:rsidR="00C704EC">
        <w:t>about the state of</w:t>
      </w:r>
      <w:r>
        <w:t xml:space="preserve"> the PCI bridge </w:t>
      </w:r>
      <w:r w:rsidR="00C704EC">
        <w:t>for the particular PCI bus where the</w:t>
      </w:r>
      <w:r>
        <w:t xml:space="preserve"> device is connected.</w:t>
      </w:r>
    </w:p>
    <w:p w:rsidR="00262AE9" w:rsidRDefault="00262AE9" w:rsidP="00262AE9">
      <w:pPr>
        <w:pStyle w:val="DT"/>
      </w:pPr>
      <w:r>
        <w:t>Raw Data</w:t>
      </w:r>
    </w:p>
    <w:p w:rsidR="00C704EC" w:rsidRDefault="00C704EC" w:rsidP="00C704EC">
      <w:pPr>
        <w:pStyle w:val="DL"/>
      </w:pPr>
      <w:r>
        <w:t>The Raw Data field is an optional field of the ESB</w:t>
      </w:r>
      <w:r w:rsidRPr="00C704EC">
        <w:t xml:space="preserve"> </w:t>
      </w:r>
      <w:r>
        <w:t>that contains data that is opaque to Windows during error condition</w:t>
      </w:r>
      <w:r w:rsidR="00721704">
        <w:t xml:space="preserve"> processing</w:t>
      </w:r>
      <w:r>
        <w:t xml:space="preserve">. This data </w:t>
      </w:r>
      <w:r w:rsidR="002B4165">
        <w:t xml:space="preserve">is </w:t>
      </w:r>
      <w:r>
        <w:t xml:space="preserve">included in the WHEA error packet in its original raw form. The amount of raw data must not exceed the value of the Max Raw Data field of the Generic Hardware Error Source Structure. The Generic Hardware Error Source Structure is described in Table 4-12 of the WHEA </w:t>
      </w:r>
      <w:r w:rsidR="00CD51BA">
        <w:t>Platform Design Guide</w:t>
      </w:r>
      <w:r>
        <w:t xml:space="preserve"> </w:t>
      </w:r>
      <w:r w:rsidR="002B4165">
        <w:t xml:space="preserve">and </w:t>
      </w:r>
      <w:r>
        <w:t>in Table 17-11 of the ACPI specification</w:t>
      </w:r>
      <w:r w:rsidR="002B4165">
        <w:t>,</w:t>
      </w:r>
      <w:r>
        <w:t xml:space="preserve"> revision 4.0.</w:t>
      </w:r>
    </w:p>
    <w:p w:rsidR="00262AE9" w:rsidRDefault="00C704EC" w:rsidP="00C704EC">
      <w:pPr>
        <w:pStyle w:val="DL"/>
      </w:pPr>
      <w:r>
        <w:t xml:space="preserve">If no raw data is present in the ESB, the Raw Data Offset and Raw Data Length fields </w:t>
      </w:r>
      <w:r w:rsidR="002B4165">
        <w:t xml:space="preserve">are </w:t>
      </w:r>
      <w:r>
        <w:t>both set to zero.</w:t>
      </w:r>
    </w:p>
    <w:p w:rsidR="00C704EC" w:rsidRPr="00C704EC" w:rsidRDefault="00C704EC" w:rsidP="00C704EC">
      <w:pPr>
        <w:pStyle w:val="Le"/>
      </w:pPr>
    </w:p>
    <w:p w:rsidR="00262AE9" w:rsidRDefault="00262AE9" w:rsidP="00401F7D">
      <w:pPr>
        <w:pStyle w:val="Heading1"/>
      </w:pPr>
      <w:bookmarkStart w:id="5" w:name="_Toc257367079"/>
      <w:r>
        <w:lastRenderedPageBreak/>
        <w:t>Notification Methods</w:t>
      </w:r>
      <w:bookmarkEnd w:id="5"/>
    </w:p>
    <w:p w:rsidR="006C515E" w:rsidRDefault="00E87ACD">
      <w:pPr>
        <w:pStyle w:val="BodyText"/>
        <w:keepLines/>
      </w:pPr>
      <w:r>
        <w:t xml:space="preserve">The Notification Structure field of the Generic Hardware Error Source Structure specifies the notification mechanism that the platform uses for the generic error source to notify Windows about an error condition. This field contains a Hardware Error Notification Structure, which is described in </w:t>
      </w:r>
      <w:r w:rsidR="00B32B36">
        <w:t xml:space="preserve">Table 4-15 of the WHEA </w:t>
      </w:r>
      <w:r w:rsidR="00CD51BA">
        <w:t>Platform Design Guide</w:t>
      </w:r>
      <w:r w:rsidR="00B32B36">
        <w:t xml:space="preserve"> </w:t>
      </w:r>
      <w:r w:rsidR="002B4165">
        <w:t xml:space="preserve">and </w:t>
      </w:r>
      <w:r w:rsidR="00B32B36">
        <w:t>in Table 17-14 of the ACPI specification</w:t>
      </w:r>
      <w:r w:rsidR="002B4165">
        <w:t>,</w:t>
      </w:r>
      <w:r w:rsidR="00B32B36">
        <w:t xml:space="preserve"> revision 4.0. </w:t>
      </w:r>
      <w:r w:rsidR="00C704EC">
        <w:t xml:space="preserve">When </w:t>
      </w:r>
      <w:r w:rsidR="00B32B36">
        <w:t>Windows</w:t>
      </w:r>
      <w:r w:rsidR="00C704EC">
        <w:t xml:space="preserve"> receives </w:t>
      </w:r>
      <w:r w:rsidR="00B32B36">
        <w:t xml:space="preserve">notification of an error condition from the </w:t>
      </w:r>
      <w:r w:rsidR="00C704EC">
        <w:t xml:space="preserve">generic error </w:t>
      </w:r>
      <w:r w:rsidR="00B32B36">
        <w:t>source</w:t>
      </w:r>
      <w:r w:rsidR="00C704EC">
        <w:t>, it read</w:t>
      </w:r>
      <w:r w:rsidR="00B32B36">
        <w:t>s</w:t>
      </w:r>
      <w:r w:rsidR="00C704EC">
        <w:t xml:space="preserve"> the </w:t>
      </w:r>
      <w:r w:rsidR="008841B4">
        <w:t>B</w:t>
      </w:r>
      <w:r w:rsidR="00C704EC">
        <w:t xml:space="preserve">lock </w:t>
      </w:r>
      <w:r w:rsidR="008841B4">
        <w:t>S</w:t>
      </w:r>
      <w:r w:rsidR="00C704EC">
        <w:t xml:space="preserve">tatus </w:t>
      </w:r>
      <w:r w:rsidR="008841B4">
        <w:t>field of the ESB</w:t>
      </w:r>
      <w:r w:rsidR="00C704EC">
        <w:t xml:space="preserve"> to determine the type of </w:t>
      </w:r>
      <w:r w:rsidR="008841B4">
        <w:t>error that occurred.</w:t>
      </w:r>
    </w:p>
    <w:p w:rsidR="0041021C" w:rsidRDefault="00E67801" w:rsidP="00401F7D">
      <w:pPr>
        <w:pStyle w:val="Heading1"/>
      </w:pPr>
      <w:bookmarkStart w:id="6" w:name="_Toc257367080"/>
      <w:r>
        <w:t>Resources</w:t>
      </w:r>
      <w:bookmarkEnd w:id="6"/>
    </w:p>
    <w:p w:rsidR="00446107" w:rsidRDefault="00446107" w:rsidP="009D7B02">
      <w:pPr>
        <w:pStyle w:val="DT"/>
      </w:pPr>
      <w:r>
        <w:t>ACPI Specification</w:t>
      </w:r>
    </w:p>
    <w:p w:rsidR="00446107" w:rsidRDefault="009E617E" w:rsidP="00446107">
      <w:pPr>
        <w:pStyle w:val="DL"/>
      </w:pPr>
      <w:hyperlink r:id="rId10" w:history="1">
        <w:r w:rsidR="00446107" w:rsidRPr="006B2B4D">
          <w:rPr>
            <w:rStyle w:val="Hyperlink"/>
          </w:rPr>
          <w:t>http://www.acpi.info</w:t>
        </w:r>
      </w:hyperlink>
    </w:p>
    <w:p w:rsidR="009D7B02" w:rsidRDefault="009D7B02" w:rsidP="009D7B02">
      <w:pPr>
        <w:pStyle w:val="DT"/>
      </w:pPr>
      <w:r>
        <w:t>WHEA – Windows Hardware Error Architecture</w:t>
      </w:r>
    </w:p>
    <w:p w:rsidR="009D7B02" w:rsidRDefault="009E617E" w:rsidP="009D7B02">
      <w:pPr>
        <w:pStyle w:val="DL"/>
      </w:pPr>
      <w:hyperlink r:id="rId11" w:history="1">
        <w:r w:rsidR="009D7B02" w:rsidRPr="006B2B4D">
          <w:rPr>
            <w:rStyle w:val="Hyperlink"/>
          </w:rPr>
          <w:t>http://www.microsoft.com/whdc/system/pnppwr/WHEA/default.mspx</w:t>
        </w:r>
      </w:hyperlink>
    </w:p>
    <w:p w:rsidR="009D7B02" w:rsidRDefault="009D7B02" w:rsidP="009D7B02">
      <w:pPr>
        <w:pStyle w:val="DT"/>
      </w:pPr>
      <w:r>
        <w:t xml:space="preserve">WHEA </w:t>
      </w:r>
      <w:r w:rsidR="00CD51BA">
        <w:t>Platform Design Guide</w:t>
      </w:r>
    </w:p>
    <w:p w:rsidR="009D7B02" w:rsidRDefault="009D7B02" w:rsidP="009D7B02">
      <w:pPr>
        <w:pStyle w:val="DL"/>
      </w:pPr>
      <w:r>
        <w:t>Available to Microsoft partners under NDA.</w:t>
      </w:r>
    </w:p>
    <w:p w:rsidR="00625C2C" w:rsidRDefault="00625C2C" w:rsidP="009D7B02">
      <w:pPr>
        <w:pStyle w:val="Le"/>
      </w:pPr>
    </w:p>
    <w:sectPr w:rsidR="00625C2C" w:rsidSect="00876B66">
      <w:headerReference w:type="even" r:id="rId12"/>
      <w:headerReference w:type="default" r:id="rId13"/>
      <w:footerReference w:type="even" r:id="rId14"/>
      <w:footerReference w:type="default" r:id="rId15"/>
      <w:headerReference w:type="first" r:id="rId16"/>
      <w:footerReference w:type="first" r:id="rId17"/>
      <w:pgSz w:w="12240" w:h="15840" w:code="1"/>
      <w:pgMar w:top="1440" w:right="1920" w:bottom="1200" w:left="2640" w:header="720" w:footer="5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887" w:rsidRDefault="008C0887" w:rsidP="00DE77A4">
      <w:r>
        <w:separator/>
      </w:r>
    </w:p>
  </w:endnote>
  <w:endnote w:type="continuationSeparator" w:id="0">
    <w:p w:rsidR="008C0887" w:rsidRDefault="008C0887" w:rsidP="00DE77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E5E" w:rsidRDefault="00AD3E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E9F" w:rsidRDefault="009E617E">
    <w:pPr>
      <w:pStyle w:val="Footer"/>
    </w:pPr>
    <w:fldSimple w:instr=" STYLEREF  Version  \* MERGEFORMAT ">
      <w:r w:rsidR="00223C71">
        <w:rPr>
          <w:noProof/>
        </w:rPr>
        <w:t>May 5, 2010</w:t>
      </w:r>
    </w:fldSimple>
    <w:r w:rsidR="00BA6E9F">
      <w:br/>
      <w:t>© 2010 Microsoft Corporation. All rights reserved.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E5E" w:rsidRDefault="00AD3E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887" w:rsidRDefault="008C0887" w:rsidP="00DE77A4">
      <w:r>
        <w:separator/>
      </w:r>
    </w:p>
  </w:footnote>
  <w:footnote w:type="continuationSeparator" w:id="0">
    <w:p w:rsidR="008C0887" w:rsidRDefault="008C0887" w:rsidP="00DE7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E5E" w:rsidRDefault="00AD3E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E9F" w:rsidRDefault="00846EE8" w:rsidP="00DE77A4">
    <w:pPr>
      <w:pStyle w:val="Header"/>
    </w:pPr>
    <w:r>
      <w:rPr>
        <w:noProof/>
      </w:rPr>
      <w:t>WHEA Generic Error Source</w:t>
    </w:r>
    <w:r w:rsidR="00BA6E9F">
      <w:t xml:space="preserve"> - </w:t>
    </w:r>
    <w:r w:rsidR="009E617E">
      <w:fldChar w:fldCharType="begin"/>
    </w:r>
    <w:r w:rsidR="00D60CF5">
      <w:instrText xml:space="preserve"> PAGE </w:instrText>
    </w:r>
    <w:r w:rsidR="009E617E">
      <w:fldChar w:fldCharType="separate"/>
    </w:r>
    <w:r w:rsidR="00223C71">
      <w:rPr>
        <w:noProof/>
      </w:rPr>
      <w:t>2</w:t>
    </w:r>
    <w:r w:rsidR="009E617E">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E9F" w:rsidRDefault="00BA6E9F" w:rsidP="00870EFF">
    <w:pPr>
      <w:pStyle w:val="Header"/>
    </w:pPr>
    <w:r>
      <w:rPr>
        <w:noProof/>
      </w:rPr>
      <w:drawing>
        <wp:inline distT="0" distB="0" distL="0" distR="0">
          <wp:extent cx="1171575" cy="31432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71575" cy="314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C41C7"/>
    <w:multiLevelType w:val="hybridMultilevel"/>
    <w:tmpl w:val="9294AC58"/>
    <w:lvl w:ilvl="0" w:tplc="04AED4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C746A5"/>
    <w:multiLevelType w:val="hybridMultilevel"/>
    <w:tmpl w:val="E5A21F30"/>
    <w:lvl w:ilvl="0" w:tplc="28324F28">
      <w:start w:val="1"/>
      <w:numFmt w:val="bullet"/>
      <w:pStyle w:val="Checklist"/>
      <w:lvlText w:val=""/>
      <w:lvlJc w:val="left"/>
      <w:pPr>
        <w:ind w:left="167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5A5134"/>
    <w:multiLevelType w:val="hybridMultilevel"/>
    <w:tmpl w:val="5E3A4D40"/>
    <w:lvl w:ilvl="0" w:tplc="14881DE8">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5ED02293"/>
    <w:multiLevelType w:val="hybridMultilevel"/>
    <w:tmpl w:val="45AC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2612F7"/>
    <w:multiLevelType w:val="hybridMultilevel"/>
    <w:tmpl w:val="60C01CB2"/>
    <w:lvl w:ilvl="0" w:tplc="BBC05BE6">
      <w:start w:val="1"/>
      <w:numFmt w:val="bullet"/>
      <w:pStyle w:val="TableBullet"/>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D724"/>
  <w:stylePaneSortMethod w:val="0000"/>
  <w:defaultTabStop w:val="720"/>
  <w:characterSpacingControl w:val="doNotCompress"/>
  <w:hdrShapeDefaults>
    <o:shapedefaults v:ext="edit" spidmax="29698"/>
  </w:hdrShapeDefaults>
  <w:footnotePr>
    <w:footnote w:id="-1"/>
    <w:footnote w:id="0"/>
  </w:footnotePr>
  <w:endnotePr>
    <w:endnote w:id="-1"/>
    <w:endnote w:id="0"/>
  </w:endnotePr>
  <w:compat/>
  <w:rsids>
    <w:rsidRoot w:val="00BC0085"/>
    <w:rsid w:val="00010AC1"/>
    <w:rsid w:val="000200CB"/>
    <w:rsid w:val="00020218"/>
    <w:rsid w:val="000204F8"/>
    <w:rsid w:val="000206B3"/>
    <w:rsid w:val="00031869"/>
    <w:rsid w:val="0003317C"/>
    <w:rsid w:val="00077E76"/>
    <w:rsid w:val="00083DB1"/>
    <w:rsid w:val="00083EF8"/>
    <w:rsid w:val="000C7BDC"/>
    <w:rsid w:val="000E075D"/>
    <w:rsid w:val="000E1156"/>
    <w:rsid w:val="00101718"/>
    <w:rsid w:val="00105AC0"/>
    <w:rsid w:val="001309E1"/>
    <w:rsid w:val="00183ACA"/>
    <w:rsid w:val="001878BD"/>
    <w:rsid w:val="001A4DEE"/>
    <w:rsid w:val="001B2F5A"/>
    <w:rsid w:val="001C0D4A"/>
    <w:rsid w:val="001C6FFE"/>
    <w:rsid w:val="001E2D86"/>
    <w:rsid w:val="001E60A4"/>
    <w:rsid w:val="0021320C"/>
    <w:rsid w:val="00214098"/>
    <w:rsid w:val="00220D6E"/>
    <w:rsid w:val="00223C71"/>
    <w:rsid w:val="00230495"/>
    <w:rsid w:val="00244C01"/>
    <w:rsid w:val="00255606"/>
    <w:rsid w:val="00262AE9"/>
    <w:rsid w:val="00263751"/>
    <w:rsid w:val="00263B56"/>
    <w:rsid w:val="00272C32"/>
    <w:rsid w:val="002733AE"/>
    <w:rsid w:val="002A00E9"/>
    <w:rsid w:val="002A5925"/>
    <w:rsid w:val="002B4165"/>
    <w:rsid w:val="002C1BE1"/>
    <w:rsid w:val="002D310B"/>
    <w:rsid w:val="002D72CD"/>
    <w:rsid w:val="002E39D5"/>
    <w:rsid w:val="00311351"/>
    <w:rsid w:val="00327F2F"/>
    <w:rsid w:val="003300CF"/>
    <w:rsid w:val="0034707B"/>
    <w:rsid w:val="003471E0"/>
    <w:rsid w:val="00350C5C"/>
    <w:rsid w:val="0035260F"/>
    <w:rsid w:val="003744CC"/>
    <w:rsid w:val="00374DA6"/>
    <w:rsid w:val="003B1713"/>
    <w:rsid w:val="003C000C"/>
    <w:rsid w:val="003C475A"/>
    <w:rsid w:val="003D00CD"/>
    <w:rsid w:val="003D1D58"/>
    <w:rsid w:val="003E036B"/>
    <w:rsid w:val="003E7BD4"/>
    <w:rsid w:val="003F6CD3"/>
    <w:rsid w:val="004016A7"/>
    <w:rsid w:val="00401F7D"/>
    <w:rsid w:val="0041021C"/>
    <w:rsid w:val="00411560"/>
    <w:rsid w:val="004160DC"/>
    <w:rsid w:val="00446107"/>
    <w:rsid w:val="00446428"/>
    <w:rsid w:val="00450F2A"/>
    <w:rsid w:val="00452972"/>
    <w:rsid w:val="00482331"/>
    <w:rsid w:val="004A6389"/>
    <w:rsid w:val="004B023D"/>
    <w:rsid w:val="004D2E11"/>
    <w:rsid w:val="004F1EE7"/>
    <w:rsid w:val="004F6F12"/>
    <w:rsid w:val="00505D55"/>
    <w:rsid w:val="00512667"/>
    <w:rsid w:val="00521BE1"/>
    <w:rsid w:val="00522E21"/>
    <w:rsid w:val="00524885"/>
    <w:rsid w:val="005262B5"/>
    <w:rsid w:val="00555AF3"/>
    <w:rsid w:val="00574A95"/>
    <w:rsid w:val="00576780"/>
    <w:rsid w:val="00587497"/>
    <w:rsid w:val="00590079"/>
    <w:rsid w:val="005A4F63"/>
    <w:rsid w:val="005B7B51"/>
    <w:rsid w:val="005E27F0"/>
    <w:rsid w:val="005E4245"/>
    <w:rsid w:val="005E7103"/>
    <w:rsid w:val="005F3E6A"/>
    <w:rsid w:val="0061611B"/>
    <w:rsid w:val="00625C2C"/>
    <w:rsid w:val="00630C77"/>
    <w:rsid w:val="00635073"/>
    <w:rsid w:val="00647625"/>
    <w:rsid w:val="00685340"/>
    <w:rsid w:val="00687ED3"/>
    <w:rsid w:val="006A1FA4"/>
    <w:rsid w:val="006A443A"/>
    <w:rsid w:val="006B3DF0"/>
    <w:rsid w:val="006B4CAB"/>
    <w:rsid w:val="006C0765"/>
    <w:rsid w:val="006C515E"/>
    <w:rsid w:val="006D2B33"/>
    <w:rsid w:val="006F426D"/>
    <w:rsid w:val="006F7E4A"/>
    <w:rsid w:val="00702BD2"/>
    <w:rsid w:val="00702DAC"/>
    <w:rsid w:val="00721704"/>
    <w:rsid w:val="00734B67"/>
    <w:rsid w:val="00734CAF"/>
    <w:rsid w:val="007538FC"/>
    <w:rsid w:val="007552FC"/>
    <w:rsid w:val="00755C0D"/>
    <w:rsid w:val="00771F2F"/>
    <w:rsid w:val="00777F15"/>
    <w:rsid w:val="007A1B8E"/>
    <w:rsid w:val="007C6152"/>
    <w:rsid w:val="007F1501"/>
    <w:rsid w:val="007F35DE"/>
    <w:rsid w:val="00806FCB"/>
    <w:rsid w:val="00845A1A"/>
    <w:rsid w:val="00846EE8"/>
    <w:rsid w:val="00850FB4"/>
    <w:rsid w:val="00854509"/>
    <w:rsid w:val="00856982"/>
    <w:rsid w:val="00870EFF"/>
    <w:rsid w:val="00875312"/>
    <w:rsid w:val="00876B66"/>
    <w:rsid w:val="008841B4"/>
    <w:rsid w:val="008A6A85"/>
    <w:rsid w:val="008B5F29"/>
    <w:rsid w:val="008B620A"/>
    <w:rsid w:val="008C0887"/>
    <w:rsid w:val="008E44FC"/>
    <w:rsid w:val="00900535"/>
    <w:rsid w:val="00910DE5"/>
    <w:rsid w:val="009111B8"/>
    <w:rsid w:val="00911833"/>
    <w:rsid w:val="00942941"/>
    <w:rsid w:val="00944AFE"/>
    <w:rsid w:val="00951E5E"/>
    <w:rsid w:val="00953E62"/>
    <w:rsid w:val="00975023"/>
    <w:rsid w:val="009953E2"/>
    <w:rsid w:val="009A3B29"/>
    <w:rsid w:val="009A5AE1"/>
    <w:rsid w:val="009B51CB"/>
    <w:rsid w:val="009C0C24"/>
    <w:rsid w:val="009D3285"/>
    <w:rsid w:val="009D7B02"/>
    <w:rsid w:val="009E617E"/>
    <w:rsid w:val="00A049AC"/>
    <w:rsid w:val="00A127A6"/>
    <w:rsid w:val="00A36A60"/>
    <w:rsid w:val="00A65D94"/>
    <w:rsid w:val="00A6731E"/>
    <w:rsid w:val="00A74EF8"/>
    <w:rsid w:val="00A83FB5"/>
    <w:rsid w:val="00A84221"/>
    <w:rsid w:val="00A872C9"/>
    <w:rsid w:val="00A94366"/>
    <w:rsid w:val="00AA16D4"/>
    <w:rsid w:val="00AA1ECE"/>
    <w:rsid w:val="00AA59E1"/>
    <w:rsid w:val="00AB0A0B"/>
    <w:rsid w:val="00AD3E5E"/>
    <w:rsid w:val="00AD5EA8"/>
    <w:rsid w:val="00AD7912"/>
    <w:rsid w:val="00AE4752"/>
    <w:rsid w:val="00AE52AF"/>
    <w:rsid w:val="00AE5DB0"/>
    <w:rsid w:val="00B00FC8"/>
    <w:rsid w:val="00B23FEB"/>
    <w:rsid w:val="00B31AED"/>
    <w:rsid w:val="00B32B36"/>
    <w:rsid w:val="00B32C46"/>
    <w:rsid w:val="00B4333E"/>
    <w:rsid w:val="00B54807"/>
    <w:rsid w:val="00B552B9"/>
    <w:rsid w:val="00B74B4A"/>
    <w:rsid w:val="00B768C5"/>
    <w:rsid w:val="00B840D4"/>
    <w:rsid w:val="00BA18C3"/>
    <w:rsid w:val="00BA32CA"/>
    <w:rsid w:val="00BA460C"/>
    <w:rsid w:val="00BA6E9F"/>
    <w:rsid w:val="00BB0B0C"/>
    <w:rsid w:val="00BB1588"/>
    <w:rsid w:val="00BB7099"/>
    <w:rsid w:val="00BC0085"/>
    <w:rsid w:val="00BD5276"/>
    <w:rsid w:val="00C01C73"/>
    <w:rsid w:val="00C05E05"/>
    <w:rsid w:val="00C10B95"/>
    <w:rsid w:val="00C1266D"/>
    <w:rsid w:val="00C146EB"/>
    <w:rsid w:val="00C16667"/>
    <w:rsid w:val="00C25D37"/>
    <w:rsid w:val="00C330FF"/>
    <w:rsid w:val="00C346D0"/>
    <w:rsid w:val="00C4036E"/>
    <w:rsid w:val="00C40E5A"/>
    <w:rsid w:val="00C41317"/>
    <w:rsid w:val="00C54E02"/>
    <w:rsid w:val="00C62059"/>
    <w:rsid w:val="00C63499"/>
    <w:rsid w:val="00C64C85"/>
    <w:rsid w:val="00C704EC"/>
    <w:rsid w:val="00C86513"/>
    <w:rsid w:val="00C94DFF"/>
    <w:rsid w:val="00CA4AD6"/>
    <w:rsid w:val="00CA7C31"/>
    <w:rsid w:val="00CB64D5"/>
    <w:rsid w:val="00CD3481"/>
    <w:rsid w:val="00CD39CC"/>
    <w:rsid w:val="00CD51BA"/>
    <w:rsid w:val="00CD5882"/>
    <w:rsid w:val="00CD77C0"/>
    <w:rsid w:val="00D019B5"/>
    <w:rsid w:val="00D01A16"/>
    <w:rsid w:val="00D04566"/>
    <w:rsid w:val="00D54A7B"/>
    <w:rsid w:val="00D57C39"/>
    <w:rsid w:val="00D60CF5"/>
    <w:rsid w:val="00D66C3E"/>
    <w:rsid w:val="00D70233"/>
    <w:rsid w:val="00D93557"/>
    <w:rsid w:val="00D97921"/>
    <w:rsid w:val="00DD0131"/>
    <w:rsid w:val="00DE77A4"/>
    <w:rsid w:val="00E00619"/>
    <w:rsid w:val="00E015E4"/>
    <w:rsid w:val="00E17CCE"/>
    <w:rsid w:val="00E33D20"/>
    <w:rsid w:val="00E37A92"/>
    <w:rsid w:val="00E419C2"/>
    <w:rsid w:val="00E5702A"/>
    <w:rsid w:val="00E63B82"/>
    <w:rsid w:val="00E65302"/>
    <w:rsid w:val="00E664DB"/>
    <w:rsid w:val="00E67801"/>
    <w:rsid w:val="00E831F8"/>
    <w:rsid w:val="00E87ACD"/>
    <w:rsid w:val="00E92745"/>
    <w:rsid w:val="00EA28AE"/>
    <w:rsid w:val="00EA5D63"/>
    <w:rsid w:val="00EA6DE9"/>
    <w:rsid w:val="00EB2F44"/>
    <w:rsid w:val="00EB776A"/>
    <w:rsid w:val="00EC372D"/>
    <w:rsid w:val="00ED6894"/>
    <w:rsid w:val="00EE5AC7"/>
    <w:rsid w:val="00EF0823"/>
    <w:rsid w:val="00EF26E0"/>
    <w:rsid w:val="00EF6CA0"/>
    <w:rsid w:val="00EF7126"/>
    <w:rsid w:val="00EF7B39"/>
    <w:rsid w:val="00EF7CC1"/>
    <w:rsid w:val="00F221ED"/>
    <w:rsid w:val="00F26542"/>
    <w:rsid w:val="00F369B9"/>
    <w:rsid w:val="00F37650"/>
    <w:rsid w:val="00F6259E"/>
    <w:rsid w:val="00F64E37"/>
    <w:rsid w:val="00F704E8"/>
    <w:rsid w:val="00FB0F4E"/>
    <w:rsid w:val="00FD344A"/>
    <w:rsid w:val="00FE137A"/>
    <w:rsid w:val="00FE5EC2"/>
    <w:rsid w:val="00FF0702"/>
    <w:rsid w:val="00FF5C21"/>
    <w:rsid w:val="00FF5CD9"/>
    <w:rsid w:val="00FF6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locked="1" w:semiHidden="0" w:uiPriority="22" w:unhideWhenUsed="0" w:qFormat="1"/>
    <w:lsdException w:name="Emphasis" w:locked="1" w:unhideWhenUsed="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nhideWhenUsed="0"/>
    <w:lsdException w:name="Intense Quote" w:locked="1"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unhideWhenUsed="0"/>
    <w:lsdException w:name="Intense Emphasis" w:locked="1" w:unhideWhenUsed="0"/>
    <w:lsdException w:name="Subtle Reference" w:locked="1" w:unhideWhenUsed="0"/>
    <w:lsdException w:name="Intense Reference" w:locked="1" w:unhideWhenUsed="0"/>
    <w:lsdException w:name="Book Title" w:uiPriority="33" w:unhideWhenUsed="0" w:qFormat="1"/>
    <w:lsdException w:name="Bibliography" w:uiPriority="37"/>
    <w:lsdException w:name="TOC Heading" w:uiPriority="39" w:qFormat="1"/>
  </w:latentStyles>
  <w:style w:type="paragraph" w:default="1" w:styleId="Normal">
    <w:name w:val="Normal"/>
    <w:qFormat/>
    <w:rsid w:val="001309E1"/>
    <w:rPr>
      <w:rFonts w:asciiTheme="minorHAnsi" w:hAnsiTheme="minorHAnsi"/>
    </w:rPr>
  </w:style>
  <w:style w:type="paragraph" w:styleId="Heading1">
    <w:name w:val="heading 1"/>
    <w:basedOn w:val="Normal"/>
    <w:next w:val="BodyText"/>
    <w:link w:val="Heading1Char"/>
    <w:rsid w:val="00A74EF8"/>
    <w:pPr>
      <w:keepNext/>
      <w:keepLines/>
      <w:pBdr>
        <w:bottom w:val="single" w:sz="2" w:space="1" w:color="000080"/>
      </w:pBdr>
      <w:spacing w:before="240" w:after="80"/>
      <w:ind w:left="-720"/>
      <w:outlineLvl w:val="0"/>
    </w:pPr>
    <w:rPr>
      <w:rFonts w:ascii="Arial" w:eastAsiaTheme="majorEastAsia" w:hAnsi="Arial" w:cstheme="majorBidi"/>
      <w:bCs/>
      <w:sz w:val="28"/>
      <w:szCs w:val="28"/>
    </w:rPr>
  </w:style>
  <w:style w:type="paragraph" w:styleId="Heading2">
    <w:name w:val="heading 2"/>
    <w:basedOn w:val="Normal"/>
    <w:next w:val="BodyText"/>
    <w:link w:val="Heading2Char"/>
    <w:uiPriority w:val="9"/>
    <w:qFormat/>
    <w:rsid w:val="00A74EF8"/>
    <w:pPr>
      <w:keepNext/>
      <w:keepLines/>
      <w:spacing w:before="240" w:after="80"/>
      <w:ind w:left="-720"/>
      <w:outlineLvl w:val="1"/>
    </w:pPr>
    <w:rPr>
      <w:rFonts w:ascii="Arial" w:eastAsiaTheme="majorEastAsia" w:hAnsi="Arial" w:cstheme="majorBidi"/>
      <w:bCs/>
      <w:sz w:val="26"/>
      <w:szCs w:val="26"/>
    </w:rPr>
  </w:style>
  <w:style w:type="paragraph" w:styleId="Heading3">
    <w:name w:val="heading 3"/>
    <w:basedOn w:val="Normal"/>
    <w:next w:val="BodyText"/>
    <w:link w:val="Heading3Char"/>
    <w:uiPriority w:val="9"/>
    <w:qFormat/>
    <w:rsid w:val="00A74EF8"/>
    <w:pPr>
      <w:keepNext/>
      <w:keepLines/>
      <w:spacing w:before="240" w:after="80"/>
      <w:outlineLvl w:val="2"/>
    </w:pPr>
    <w:rPr>
      <w:rFonts w:ascii="Arial" w:eastAsiaTheme="majorEastAsia" w:hAnsi="Arial" w:cstheme="majorBidi"/>
      <w:bCs/>
      <w:sz w:val="24"/>
    </w:rPr>
  </w:style>
  <w:style w:type="paragraph" w:styleId="Heading4">
    <w:name w:val="heading 4"/>
    <w:basedOn w:val="Normal"/>
    <w:next w:val="BodyText"/>
    <w:link w:val="Heading4Char"/>
    <w:qFormat/>
    <w:rsid w:val="00A74EF8"/>
    <w:pPr>
      <w:keepNext/>
      <w:keepLines/>
      <w:spacing w:before="200" w:after="40"/>
      <w:outlineLvl w:val="3"/>
    </w:pPr>
    <w:rPr>
      <w:rFonts w:ascii="Arial" w:eastAsiaTheme="majorEastAsia" w:hAnsi="Arial" w:cstheme="majorBidi"/>
      <w:b/>
      <w:bCs/>
      <w:iCs/>
      <w:sz w:val="20"/>
    </w:rPr>
  </w:style>
  <w:style w:type="paragraph" w:styleId="Heading5">
    <w:name w:val="heading 5"/>
    <w:basedOn w:val="Normal"/>
    <w:next w:val="BodyText"/>
    <w:link w:val="Heading5Char"/>
    <w:uiPriority w:val="9"/>
    <w:unhideWhenUsed/>
    <w:qFormat/>
    <w:rsid w:val="0041021C"/>
    <w:pPr>
      <w:keepNext/>
      <w:keepLines/>
      <w:spacing w:before="200"/>
      <w:outlineLvl w:val="4"/>
    </w:pPr>
    <w:rPr>
      <w:rFonts w:ascii="Arial" w:eastAsiaTheme="majorEastAsia" w:hAnsi="Arial" w:cstheme="majorBidi"/>
      <w:b/>
      <w:color w:val="365F91" w:themeColor="accent1" w:themeShade="BF"/>
      <w:sz w:val="20"/>
    </w:rPr>
  </w:style>
  <w:style w:type="paragraph" w:styleId="Heading6">
    <w:name w:val="heading 6"/>
    <w:basedOn w:val="Normal"/>
    <w:next w:val="Normal"/>
    <w:link w:val="Heading6Char"/>
    <w:uiPriority w:val="9"/>
    <w:unhideWhenUsed/>
    <w:qFormat/>
    <w:rsid w:val="0041021C"/>
    <w:pPr>
      <w:keepNext/>
      <w:keepLines/>
      <w:spacing w:before="200"/>
      <w:outlineLvl w:val="5"/>
    </w:pPr>
    <w:rPr>
      <w:rFonts w:ascii="Arial" w:eastAsiaTheme="majorEastAsia" w:hAnsi="Arial" w:cstheme="majorBidi"/>
      <w:b/>
      <w:iCs/>
      <w:color w:val="365F91"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EF8"/>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A74EF8"/>
    <w:rPr>
      <w:rFonts w:ascii="Arial" w:eastAsiaTheme="majorEastAsia" w:hAnsi="Arial" w:cstheme="majorBidi"/>
      <w:bCs/>
      <w:sz w:val="26"/>
      <w:szCs w:val="26"/>
    </w:rPr>
  </w:style>
  <w:style w:type="character" w:customStyle="1" w:styleId="Heading3Char">
    <w:name w:val="Heading 3 Char"/>
    <w:basedOn w:val="DefaultParagraphFont"/>
    <w:link w:val="Heading3"/>
    <w:uiPriority w:val="9"/>
    <w:rsid w:val="00A74EF8"/>
    <w:rPr>
      <w:rFonts w:ascii="Arial" w:eastAsiaTheme="majorEastAsia" w:hAnsi="Arial" w:cstheme="majorBidi"/>
      <w:bCs/>
      <w:sz w:val="24"/>
    </w:rPr>
  </w:style>
  <w:style w:type="character" w:customStyle="1" w:styleId="Heading4Char">
    <w:name w:val="Heading 4 Char"/>
    <w:basedOn w:val="DefaultParagraphFont"/>
    <w:link w:val="Heading4"/>
    <w:rsid w:val="00A74EF8"/>
    <w:rPr>
      <w:rFonts w:ascii="Arial" w:eastAsiaTheme="majorEastAsia" w:hAnsi="Arial" w:cstheme="majorBidi"/>
      <w:b/>
      <w:bCs/>
      <w:iCs/>
      <w:sz w:val="20"/>
    </w:rPr>
  </w:style>
  <w:style w:type="paragraph" w:styleId="BodyText">
    <w:name w:val="Body Text"/>
    <w:basedOn w:val="Normal"/>
    <w:link w:val="BodyTextChar"/>
    <w:rsid w:val="00077E76"/>
    <w:pPr>
      <w:tabs>
        <w:tab w:val="left" w:pos="360"/>
        <w:tab w:val="left" w:pos="720"/>
      </w:tabs>
      <w:spacing w:after="160"/>
    </w:pPr>
    <w:rPr>
      <w:rFonts w:eastAsia="MS Mincho" w:cs="Arial"/>
      <w:szCs w:val="20"/>
    </w:rPr>
  </w:style>
  <w:style w:type="character" w:customStyle="1" w:styleId="BodyTextChar">
    <w:name w:val="Body Text Char"/>
    <w:basedOn w:val="DefaultParagraphFont"/>
    <w:link w:val="BodyText"/>
    <w:rsid w:val="00077E76"/>
    <w:rPr>
      <w:rFonts w:eastAsia="MS Mincho" w:cs="Arial"/>
      <w:szCs w:val="20"/>
    </w:rPr>
  </w:style>
  <w:style w:type="character" w:customStyle="1" w:styleId="Small">
    <w:name w:val="Small"/>
    <w:basedOn w:val="DefaultParagraphFont"/>
    <w:rsid w:val="00AE4752"/>
    <w:rPr>
      <w:sz w:val="18"/>
    </w:rPr>
  </w:style>
  <w:style w:type="paragraph" w:styleId="CommentText">
    <w:name w:val="annotation text"/>
    <w:aliases w:val="ed"/>
    <w:next w:val="Normal"/>
    <w:link w:val="CommentTextChar"/>
    <w:semiHidden/>
    <w:rsid w:val="00DE77A4"/>
    <w:pPr>
      <w:shd w:val="clear" w:color="auto" w:fill="C0C0C0"/>
    </w:pPr>
    <w:rPr>
      <w:rFonts w:ascii="Arial" w:eastAsia="Times New Roman" w:hAnsi="Arial" w:cs="Times New Roman"/>
      <w:b/>
      <w:color w:val="0000FF"/>
      <w:sz w:val="16"/>
      <w:szCs w:val="20"/>
    </w:rPr>
  </w:style>
  <w:style w:type="character" w:customStyle="1" w:styleId="CommentTextChar">
    <w:name w:val="Comment Text Char"/>
    <w:aliases w:val="ed Char"/>
    <w:basedOn w:val="DefaultParagraphFont"/>
    <w:link w:val="CommentText"/>
    <w:semiHidden/>
    <w:rsid w:val="00DE77A4"/>
    <w:rPr>
      <w:rFonts w:ascii="Arial" w:eastAsia="Times New Roman" w:hAnsi="Arial" w:cs="Times New Roman"/>
      <w:b/>
      <w:color w:val="0000FF"/>
      <w:sz w:val="16"/>
      <w:szCs w:val="20"/>
      <w:shd w:val="clear" w:color="auto" w:fill="C0C0C0"/>
    </w:rPr>
  </w:style>
  <w:style w:type="paragraph" w:styleId="Title">
    <w:name w:val="Title"/>
    <w:next w:val="BodyText"/>
    <w:link w:val="TitleChar"/>
    <w:qFormat/>
    <w:rsid w:val="00A6731E"/>
    <w:pPr>
      <w:spacing w:before="1440" w:after="480"/>
    </w:pPr>
    <w:rPr>
      <w:rFonts w:ascii="Arial" w:eastAsia="MS Mincho" w:hAnsi="Arial" w:cs="Arial"/>
      <w:bCs/>
      <w:kern w:val="28"/>
      <w:sz w:val="48"/>
      <w:szCs w:val="48"/>
    </w:rPr>
  </w:style>
  <w:style w:type="character" w:customStyle="1" w:styleId="TitleChar">
    <w:name w:val="Title Char"/>
    <w:basedOn w:val="DefaultParagraphFont"/>
    <w:link w:val="Title"/>
    <w:rsid w:val="00A6731E"/>
    <w:rPr>
      <w:rFonts w:ascii="Arial" w:eastAsia="MS Mincho" w:hAnsi="Arial" w:cs="Arial"/>
      <w:bCs/>
      <w:kern w:val="28"/>
      <w:sz w:val="48"/>
      <w:szCs w:val="48"/>
    </w:rPr>
  </w:style>
  <w:style w:type="paragraph" w:customStyle="1" w:styleId="Procedure">
    <w:name w:val="Procedure"/>
    <w:basedOn w:val="Normal"/>
    <w:next w:val="List"/>
    <w:rsid w:val="00A6731E"/>
    <w:pPr>
      <w:keepNext/>
      <w:keepLines/>
      <w:pBdr>
        <w:bottom w:val="single" w:sz="2" w:space="1" w:color="000080"/>
      </w:pBdr>
      <w:spacing w:before="240" w:after="120"/>
    </w:pPr>
    <w:rPr>
      <w:rFonts w:ascii="Arial" w:eastAsia="MS Mincho" w:hAnsi="Arial" w:cs="Arial"/>
      <w:b/>
      <w:color w:val="000080"/>
      <w:sz w:val="20"/>
      <w:szCs w:val="20"/>
    </w:rPr>
  </w:style>
  <w:style w:type="paragraph" w:styleId="TOC1">
    <w:name w:val="toc 1"/>
    <w:basedOn w:val="Normal"/>
    <w:autoRedefine/>
    <w:uiPriority w:val="39"/>
    <w:unhideWhenUsed/>
    <w:rsid w:val="00A6731E"/>
    <w:pPr>
      <w:tabs>
        <w:tab w:val="right" w:leader="dot" w:pos="7680"/>
      </w:tabs>
    </w:pPr>
    <w:rPr>
      <w:rFonts w:eastAsiaTheme="minorEastAsia"/>
      <w:noProof/>
    </w:rPr>
  </w:style>
  <w:style w:type="paragraph" w:customStyle="1" w:styleId="TableHead">
    <w:name w:val="Table Head"/>
    <w:basedOn w:val="BodyText"/>
    <w:next w:val="BodyText"/>
    <w:rsid w:val="00A74EF8"/>
    <w:pPr>
      <w:keepNext/>
      <w:keepLines/>
      <w:spacing w:before="160" w:after="0"/>
    </w:pPr>
    <w:rPr>
      <w:b/>
      <w:sz w:val="20"/>
    </w:rPr>
  </w:style>
  <w:style w:type="paragraph" w:customStyle="1" w:styleId="Disclaimertext">
    <w:name w:val="Disclaimertext"/>
    <w:basedOn w:val="Normal"/>
    <w:next w:val="Normal"/>
    <w:semiHidden/>
    <w:rsid w:val="004D2E11"/>
    <w:rPr>
      <w:rFonts w:ascii="Arial" w:eastAsia="MS Mincho" w:hAnsi="Arial" w:cs="Arial"/>
      <w:i/>
      <w:sz w:val="16"/>
      <w:szCs w:val="16"/>
    </w:rPr>
  </w:style>
  <w:style w:type="paragraph" w:customStyle="1" w:styleId="Version">
    <w:name w:val="Version"/>
    <w:basedOn w:val="Normal"/>
    <w:next w:val="BodyText"/>
    <w:rsid w:val="00D66C3E"/>
    <w:pPr>
      <w:keepLines/>
      <w:spacing w:after="480"/>
    </w:pPr>
    <w:rPr>
      <w:rFonts w:eastAsia="MS Mincho" w:cs="Arial"/>
      <w:noProof/>
      <w:sz w:val="18"/>
      <w:szCs w:val="20"/>
    </w:rPr>
  </w:style>
  <w:style w:type="character" w:styleId="Hyperlink">
    <w:name w:val="Hyperlink"/>
    <w:uiPriority w:val="99"/>
    <w:rsid w:val="00DE77A4"/>
    <w:rPr>
      <w:color w:val="0000FF"/>
      <w:u w:val="single"/>
    </w:rPr>
  </w:style>
  <w:style w:type="paragraph" w:customStyle="1" w:styleId="BodyTextLink">
    <w:name w:val="Body Text Link"/>
    <w:basedOn w:val="BodyText"/>
    <w:next w:val="BulletList"/>
    <w:rsid w:val="00DE77A4"/>
    <w:pPr>
      <w:keepNext/>
      <w:keepLines/>
      <w:spacing w:after="80"/>
    </w:pPr>
  </w:style>
  <w:style w:type="character" w:customStyle="1" w:styleId="Editornote">
    <w:name w:val="Editor note"/>
    <w:basedOn w:val="Strong"/>
    <w:rsid w:val="00DE77A4"/>
    <w:rPr>
      <w:rFonts w:ascii="Arial" w:hAnsi="Arial"/>
      <w:b/>
      <w:bCs/>
      <w:color w:val="0000FF"/>
      <w:sz w:val="20"/>
      <w:shd w:val="clear" w:color="auto" w:fill="C0C0C0"/>
    </w:rPr>
  </w:style>
  <w:style w:type="character" w:customStyle="1" w:styleId="Bold">
    <w:name w:val="Bold"/>
    <w:basedOn w:val="DefaultParagraphFont"/>
    <w:rsid w:val="00DE77A4"/>
    <w:rPr>
      <w:b/>
    </w:rPr>
  </w:style>
  <w:style w:type="paragraph" w:styleId="List">
    <w:name w:val="List"/>
    <w:basedOn w:val="BodyText"/>
    <w:uiPriority w:val="99"/>
    <w:rsid w:val="002A00E9"/>
    <w:pPr>
      <w:spacing w:after="80"/>
      <w:ind w:left="360" w:hanging="360"/>
    </w:pPr>
  </w:style>
  <w:style w:type="character" w:styleId="Strong">
    <w:name w:val="Strong"/>
    <w:basedOn w:val="DefaultParagraphFont"/>
    <w:uiPriority w:val="99"/>
    <w:semiHidden/>
    <w:qFormat/>
    <w:locked/>
    <w:rsid w:val="00DE77A4"/>
    <w:rPr>
      <w:b/>
      <w:bCs/>
    </w:rPr>
  </w:style>
  <w:style w:type="paragraph" w:styleId="Header">
    <w:name w:val="header"/>
    <w:basedOn w:val="BodyText"/>
    <w:link w:val="HeaderChar"/>
    <w:unhideWhenUsed/>
    <w:rsid w:val="00A6731E"/>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rsid w:val="00A6731E"/>
    <w:rPr>
      <w:rFonts w:asciiTheme="minorHAnsi" w:eastAsia="MS Mincho" w:hAnsiTheme="minorHAnsi" w:cs="Arial"/>
      <w:sz w:val="16"/>
      <w:szCs w:val="20"/>
    </w:rPr>
  </w:style>
  <w:style w:type="paragraph" w:styleId="Footer">
    <w:name w:val="footer"/>
    <w:basedOn w:val="Normal"/>
    <w:link w:val="FooterChar"/>
    <w:semiHidden/>
    <w:unhideWhenUsed/>
    <w:rsid w:val="00DE77A4"/>
    <w:pPr>
      <w:tabs>
        <w:tab w:val="center" w:pos="4680"/>
        <w:tab w:val="right" w:pos="9360"/>
      </w:tabs>
    </w:pPr>
    <w:rPr>
      <w:sz w:val="16"/>
    </w:rPr>
  </w:style>
  <w:style w:type="character" w:customStyle="1" w:styleId="FooterChar">
    <w:name w:val="Footer Char"/>
    <w:basedOn w:val="DefaultParagraphFont"/>
    <w:link w:val="Footer"/>
    <w:semiHidden/>
    <w:rsid w:val="00DE77A4"/>
    <w:rPr>
      <w:sz w:val="16"/>
    </w:rPr>
  </w:style>
  <w:style w:type="paragraph" w:styleId="BalloonText">
    <w:name w:val="Balloon Text"/>
    <w:basedOn w:val="Normal"/>
    <w:link w:val="BalloonTextChar"/>
    <w:uiPriority w:val="99"/>
    <w:semiHidden/>
    <w:unhideWhenUsed/>
    <w:rsid w:val="00DE77A4"/>
    <w:rPr>
      <w:rFonts w:ascii="Tahoma" w:hAnsi="Tahoma" w:cs="Tahoma"/>
      <w:sz w:val="16"/>
      <w:szCs w:val="16"/>
    </w:rPr>
  </w:style>
  <w:style w:type="character" w:customStyle="1" w:styleId="BalloonTextChar">
    <w:name w:val="Balloon Text Char"/>
    <w:basedOn w:val="DefaultParagraphFont"/>
    <w:link w:val="BalloonText"/>
    <w:uiPriority w:val="99"/>
    <w:semiHidden/>
    <w:rsid w:val="00DE77A4"/>
    <w:rPr>
      <w:rFonts w:ascii="Tahoma" w:hAnsi="Tahoma" w:cs="Tahoma"/>
      <w:sz w:val="16"/>
      <w:szCs w:val="16"/>
    </w:rPr>
  </w:style>
  <w:style w:type="paragraph" w:styleId="BodyTextIndent">
    <w:name w:val="Body Text Indent"/>
    <w:basedOn w:val="Normal"/>
    <w:link w:val="BodyTextIndentChar"/>
    <w:rsid w:val="00875312"/>
    <w:pPr>
      <w:spacing w:after="80"/>
      <w:ind w:left="360"/>
    </w:pPr>
    <w:rPr>
      <w:rFonts w:eastAsia="MS Mincho" w:cs="Arial"/>
      <w:szCs w:val="20"/>
    </w:rPr>
  </w:style>
  <w:style w:type="character" w:customStyle="1" w:styleId="BodyTextIndentChar">
    <w:name w:val="Body Text Indent Char"/>
    <w:basedOn w:val="DefaultParagraphFont"/>
    <w:link w:val="BodyTextIndent"/>
    <w:rsid w:val="00875312"/>
    <w:rPr>
      <w:rFonts w:eastAsia="MS Mincho" w:cs="Arial"/>
      <w:szCs w:val="20"/>
    </w:rPr>
  </w:style>
  <w:style w:type="paragraph" w:customStyle="1" w:styleId="BulletList">
    <w:name w:val="Bullet List"/>
    <w:basedOn w:val="Normal"/>
    <w:rsid w:val="00875312"/>
    <w:pPr>
      <w:numPr>
        <w:numId w:val="1"/>
      </w:numPr>
      <w:tabs>
        <w:tab w:val="clear" w:pos="720"/>
        <w:tab w:val="left" w:pos="360"/>
      </w:tabs>
      <w:spacing w:after="80"/>
      <w:ind w:left="360"/>
    </w:pPr>
    <w:rPr>
      <w:rFonts w:eastAsia="MS Mincho" w:cs="Arial"/>
      <w:szCs w:val="20"/>
    </w:rPr>
  </w:style>
  <w:style w:type="paragraph" w:customStyle="1" w:styleId="BulletList2">
    <w:name w:val="Bullet List 2"/>
    <w:basedOn w:val="BulletList"/>
    <w:rsid w:val="00875312"/>
    <w:pPr>
      <w:tabs>
        <w:tab w:val="clear" w:pos="360"/>
        <w:tab w:val="num" w:pos="720"/>
      </w:tabs>
      <w:ind w:left="720"/>
    </w:pPr>
  </w:style>
  <w:style w:type="paragraph" w:customStyle="1" w:styleId="TableBullet">
    <w:name w:val="Table Bullet"/>
    <w:basedOn w:val="Normal"/>
    <w:rsid w:val="00875312"/>
    <w:pPr>
      <w:numPr>
        <w:numId w:val="2"/>
      </w:numPr>
      <w:spacing w:before="20" w:after="20"/>
    </w:pPr>
    <w:rPr>
      <w:rFonts w:eastAsia="MS Mincho" w:cs="Arial"/>
      <w:sz w:val="18"/>
      <w:szCs w:val="18"/>
    </w:rPr>
  </w:style>
  <w:style w:type="paragraph" w:styleId="PlainText">
    <w:name w:val="Plain Text"/>
    <w:aliases w:val="Code"/>
    <w:link w:val="PlainTextChar"/>
    <w:rsid w:val="009111B8"/>
    <w:pPr>
      <w:shd w:val="clear" w:color="auto" w:fill="D9D9D9" w:themeFill="background1" w:themeFillShade="D9"/>
    </w:pPr>
    <w:rPr>
      <w:rFonts w:ascii="Lucida Sans Typewriter" w:eastAsia="MS Mincho" w:hAnsi="Lucida Sans Typewriter" w:cs="Courier New"/>
      <w:noProof/>
      <w:color w:val="000000"/>
      <w:sz w:val="18"/>
      <w:szCs w:val="20"/>
    </w:rPr>
  </w:style>
  <w:style w:type="character" w:customStyle="1" w:styleId="PlainTextChar">
    <w:name w:val="Plain Text Char"/>
    <w:aliases w:val="Code Char"/>
    <w:basedOn w:val="DefaultParagraphFont"/>
    <w:link w:val="PlainText"/>
    <w:rsid w:val="009111B8"/>
    <w:rPr>
      <w:rFonts w:ascii="Lucida Sans Typewriter" w:eastAsia="MS Mincho" w:hAnsi="Lucida Sans Typewriter" w:cs="Courier New"/>
      <w:noProof/>
      <w:color w:val="000000"/>
      <w:sz w:val="18"/>
      <w:szCs w:val="20"/>
      <w:shd w:val="clear" w:color="auto" w:fill="D9D9D9" w:themeFill="background1" w:themeFillShade="D9"/>
    </w:rPr>
  </w:style>
  <w:style w:type="character" w:customStyle="1" w:styleId="EmbeddedCode">
    <w:name w:val="Embedded Code"/>
    <w:basedOn w:val="DefaultParagraphFont"/>
    <w:rsid w:val="00077E76"/>
    <w:rPr>
      <w:rFonts w:ascii="Courier New" w:hAnsi="Courier New"/>
      <w:sz w:val="18"/>
    </w:rPr>
  </w:style>
  <w:style w:type="paragraph" w:customStyle="1" w:styleId="Le">
    <w:name w:val="Le"/>
    <w:aliases w:val="listend (LE)"/>
    <w:next w:val="BodyText"/>
    <w:rsid w:val="00077E76"/>
    <w:pPr>
      <w:spacing w:line="80" w:lineRule="exact"/>
    </w:pPr>
    <w:rPr>
      <w:rFonts w:ascii="Arial" w:eastAsia="MS Mincho" w:hAnsi="Arial" w:cs="Times New Roman"/>
      <w:color w:val="0070C0"/>
      <w:sz w:val="16"/>
      <w:szCs w:val="24"/>
    </w:rPr>
  </w:style>
  <w:style w:type="paragraph" w:styleId="ListParagraph">
    <w:name w:val="List Paragraph"/>
    <w:basedOn w:val="Normal"/>
    <w:uiPriority w:val="34"/>
    <w:qFormat/>
    <w:locked/>
    <w:rsid w:val="002A00E9"/>
    <w:pPr>
      <w:spacing w:after="80"/>
      <w:ind w:left="360" w:hanging="360"/>
    </w:pPr>
  </w:style>
  <w:style w:type="paragraph" w:customStyle="1" w:styleId="Contents">
    <w:name w:val="Contents"/>
    <w:basedOn w:val="Normal"/>
    <w:semiHidden/>
    <w:qFormat/>
    <w:rsid w:val="004D2E11"/>
    <w:pPr>
      <w:pBdr>
        <w:bottom w:val="single" w:sz="2" w:space="1" w:color="000080"/>
      </w:pBdr>
      <w:spacing w:before="240" w:after="40"/>
      <w:ind w:left="-720"/>
    </w:pPr>
    <w:rPr>
      <w:rFonts w:ascii="Arial" w:hAnsi="Arial" w:cs="Arial"/>
      <w:sz w:val="28"/>
      <w:szCs w:val="28"/>
    </w:rPr>
  </w:style>
  <w:style w:type="paragraph" w:styleId="Quote">
    <w:name w:val="Quote"/>
    <w:basedOn w:val="Normal"/>
    <w:next w:val="Normal"/>
    <w:link w:val="QuoteChar"/>
    <w:uiPriority w:val="99"/>
    <w:semiHidden/>
    <w:locked/>
    <w:rsid w:val="00BA32CA"/>
    <w:pPr>
      <w:ind w:left="360"/>
    </w:pPr>
    <w:rPr>
      <w:iCs/>
      <w:color w:val="000000" w:themeColor="text1"/>
    </w:rPr>
  </w:style>
  <w:style w:type="character" w:customStyle="1" w:styleId="QuoteChar">
    <w:name w:val="Quote Char"/>
    <w:basedOn w:val="DefaultParagraphFont"/>
    <w:link w:val="Quote"/>
    <w:uiPriority w:val="99"/>
    <w:semiHidden/>
    <w:rsid w:val="009A3B29"/>
    <w:rPr>
      <w:rFonts w:asciiTheme="minorHAnsi" w:hAnsiTheme="minorHAnsi"/>
      <w:iCs/>
      <w:color w:val="000000" w:themeColor="text1"/>
    </w:rPr>
  </w:style>
  <w:style w:type="paragraph" w:styleId="Subtitle">
    <w:name w:val="Subtitle"/>
    <w:basedOn w:val="Normal"/>
    <w:next w:val="Normal"/>
    <w:link w:val="SubtitleChar"/>
    <w:uiPriority w:val="11"/>
    <w:qFormat/>
    <w:rsid w:val="00A74EF8"/>
    <w:pPr>
      <w:numPr>
        <w:ilvl w:val="1"/>
      </w:numPr>
      <w:spacing w:after="480"/>
    </w:pPr>
    <w:rPr>
      <w:rFonts w:ascii="Arial" w:eastAsiaTheme="majorEastAsia" w:hAnsi="Arial" w:cstheme="majorBidi"/>
      <w:iCs/>
      <w:spacing w:val="15"/>
      <w:sz w:val="32"/>
      <w:szCs w:val="24"/>
    </w:rPr>
  </w:style>
  <w:style w:type="character" w:customStyle="1" w:styleId="SubtitleChar">
    <w:name w:val="Subtitle Char"/>
    <w:basedOn w:val="DefaultParagraphFont"/>
    <w:link w:val="Subtitle"/>
    <w:uiPriority w:val="11"/>
    <w:rsid w:val="00A74EF8"/>
    <w:rPr>
      <w:rFonts w:ascii="Arial" w:eastAsiaTheme="majorEastAsia" w:hAnsi="Arial" w:cstheme="majorBidi"/>
      <w:iCs/>
      <w:spacing w:val="15"/>
      <w:sz w:val="32"/>
      <w:szCs w:val="24"/>
    </w:rPr>
  </w:style>
  <w:style w:type="paragraph" w:customStyle="1" w:styleId="FigCap">
    <w:name w:val="FigCap"/>
    <w:basedOn w:val="Normal"/>
    <w:next w:val="BodyText"/>
    <w:autoRedefine/>
    <w:rsid w:val="00B74B4A"/>
    <w:pPr>
      <w:spacing w:before="160" w:after="240"/>
    </w:pPr>
    <w:rPr>
      <w:rFonts w:ascii="Arial" w:eastAsia="MS Mincho" w:hAnsi="Arial" w:cs="Arial"/>
      <w:b/>
      <w:sz w:val="18"/>
      <w:szCs w:val="18"/>
    </w:rPr>
  </w:style>
  <w:style w:type="character" w:customStyle="1" w:styleId="Red">
    <w:name w:val="Red"/>
    <w:basedOn w:val="BodyTextChar"/>
    <w:uiPriority w:val="1"/>
    <w:qFormat/>
    <w:rsid w:val="009A3B29"/>
    <w:rPr>
      <w:rFonts w:eastAsia="MS Mincho" w:cs="Arial"/>
      <w:b/>
      <w:color w:val="FF0000"/>
      <w:szCs w:val="20"/>
    </w:rPr>
  </w:style>
  <w:style w:type="paragraph" w:styleId="TOC2">
    <w:name w:val="toc 2"/>
    <w:basedOn w:val="Normal"/>
    <w:next w:val="Normal"/>
    <w:autoRedefine/>
    <w:uiPriority w:val="39"/>
    <w:unhideWhenUsed/>
    <w:rsid w:val="00A6731E"/>
    <w:pPr>
      <w:tabs>
        <w:tab w:val="right" w:leader="dot" w:pos="7680"/>
      </w:tabs>
      <w:ind w:left="240"/>
    </w:pPr>
    <w:rPr>
      <w:noProof/>
    </w:rPr>
  </w:style>
  <w:style w:type="paragraph" w:styleId="TOC3">
    <w:name w:val="toc 3"/>
    <w:basedOn w:val="Normal"/>
    <w:next w:val="Normal"/>
    <w:autoRedefine/>
    <w:uiPriority w:val="39"/>
    <w:unhideWhenUsed/>
    <w:rsid w:val="00A6731E"/>
    <w:pPr>
      <w:tabs>
        <w:tab w:val="right" w:leader="dot" w:pos="7680"/>
      </w:tabs>
      <w:ind w:left="480"/>
    </w:pPr>
    <w:rPr>
      <w:noProof/>
    </w:rPr>
  </w:style>
  <w:style w:type="character" w:customStyle="1" w:styleId="Heading5Char">
    <w:name w:val="Heading 5 Char"/>
    <w:basedOn w:val="DefaultParagraphFont"/>
    <w:link w:val="Heading5"/>
    <w:uiPriority w:val="9"/>
    <w:rsid w:val="0041021C"/>
    <w:rPr>
      <w:rFonts w:ascii="Arial" w:eastAsiaTheme="majorEastAsia" w:hAnsi="Arial" w:cstheme="majorBidi"/>
      <w:b/>
      <w:color w:val="365F91" w:themeColor="accent1" w:themeShade="BF"/>
      <w:sz w:val="20"/>
    </w:rPr>
  </w:style>
  <w:style w:type="character" w:customStyle="1" w:styleId="Heading6Char">
    <w:name w:val="Heading 6 Char"/>
    <w:basedOn w:val="DefaultParagraphFont"/>
    <w:link w:val="Heading6"/>
    <w:uiPriority w:val="9"/>
    <w:rsid w:val="0041021C"/>
    <w:rPr>
      <w:rFonts w:ascii="Arial" w:eastAsiaTheme="majorEastAsia" w:hAnsi="Arial" w:cstheme="majorBidi"/>
      <w:b/>
      <w:iCs/>
      <w:color w:val="365F91" w:themeColor="accent1" w:themeShade="BF"/>
      <w:sz w:val="20"/>
    </w:rPr>
  </w:style>
  <w:style w:type="paragraph" w:customStyle="1" w:styleId="DT">
    <w:name w:val="DT"/>
    <w:aliases w:val="Term1"/>
    <w:basedOn w:val="Normal"/>
    <w:next w:val="DL"/>
    <w:rsid w:val="00A84221"/>
    <w:pPr>
      <w:keepNext/>
      <w:ind w:left="180"/>
    </w:pPr>
    <w:rPr>
      <w:rFonts w:eastAsia="MS Mincho" w:cs="Arial"/>
      <w:b/>
      <w:szCs w:val="20"/>
    </w:rPr>
  </w:style>
  <w:style w:type="paragraph" w:customStyle="1" w:styleId="DL">
    <w:name w:val="DL"/>
    <w:aliases w:val="Def1"/>
    <w:basedOn w:val="Normal"/>
    <w:next w:val="DT"/>
    <w:link w:val="DLChar"/>
    <w:rsid w:val="00A84221"/>
    <w:pPr>
      <w:keepLines/>
      <w:spacing w:after="80"/>
      <w:ind w:left="360"/>
    </w:pPr>
    <w:rPr>
      <w:rFonts w:eastAsia="MS Mincho" w:cs="Arial"/>
      <w:szCs w:val="20"/>
    </w:rPr>
  </w:style>
  <w:style w:type="character" w:customStyle="1" w:styleId="DLChar">
    <w:name w:val="DL Char"/>
    <w:aliases w:val="Def1 Char"/>
    <w:basedOn w:val="DefaultParagraphFont"/>
    <w:link w:val="DL"/>
    <w:rsid w:val="00A84221"/>
    <w:rPr>
      <w:rFonts w:asciiTheme="minorHAnsi" w:eastAsia="MS Mincho" w:hAnsiTheme="minorHAnsi" w:cs="Arial"/>
      <w:szCs w:val="20"/>
    </w:rPr>
  </w:style>
  <w:style w:type="table" w:customStyle="1" w:styleId="Tablerowcell">
    <w:name w:val="Table row cell"/>
    <w:basedOn w:val="TableNormal"/>
    <w:uiPriority w:val="99"/>
    <w:rsid w:val="00BB7099"/>
    <w:rPr>
      <w:rFonts w:asciiTheme="minorHAnsi" w:hAnsiTheme="minorHAnsi"/>
      <w:sz w:val="20"/>
    </w:rPr>
    <w:tblPr>
      <w:tblInd w:w="0" w:type="dxa"/>
      <w:tblBorders>
        <w:top w:val="single" w:sz="4" w:space="0" w:color="auto"/>
        <w:bottom w:val="single" w:sz="4" w:space="0" w:color="auto"/>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rPr>
      <w:cantSplit/>
    </w:trPr>
    <w:tblStylePr w:type="firstRow">
      <w:rPr>
        <w:rFonts w:ascii="Calibri" w:hAnsi="Calibri"/>
        <w:b/>
        <w:sz w:val="20"/>
      </w:rPr>
      <w:tblPr/>
      <w:trPr>
        <w:tblHeader/>
      </w:trPr>
      <w:tcPr>
        <w:tcBorders>
          <w:top w:val="single" w:sz="4" w:space="0" w:color="auto"/>
          <w:left w:val="nil"/>
          <w:bottom w:val="single" w:sz="4" w:space="0" w:color="auto"/>
          <w:right w:val="nil"/>
          <w:insideH w:val="nil"/>
          <w:insideV w:val="nil"/>
          <w:tl2br w:val="nil"/>
          <w:tr2bl w:val="nil"/>
        </w:tcBorders>
        <w:shd w:val="clear" w:color="auto" w:fill="C6D9F1" w:themeFill="text2" w:themeFillTint="33"/>
      </w:tcPr>
    </w:tblStylePr>
  </w:style>
  <w:style w:type="paragraph" w:styleId="NoSpacing">
    <w:name w:val="No Spacing"/>
    <w:basedOn w:val="Normal"/>
    <w:uiPriority w:val="1"/>
    <w:qFormat/>
    <w:rsid w:val="00BB0B0C"/>
    <w:rPr>
      <w:rFonts w:ascii="Calibri" w:hAnsi="Calibri" w:cs="Times New Roman"/>
    </w:rPr>
  </w:style>
  <w:style w:type="paragraph" w:customStyle="1" w:styleId="Checklist">
    <w:name w:val="Checklist"/>
    <w:basedOn w:val="BulletList"/>
    <w:qFormat/>
    <w:rsid w:val="00C94DFF"/>
    <w:pPr>
      <w:numPr>
        <w:numId w:val="3"/>
      </w:numPr>
      <w:ind w:left="360"/>
    </w:pPr>
  </w:style>
  <w:style w:type="character" w:styleId="CommentReference">
    <w:name w:val="annotation reference"/>
    <w:basedOn w:val="DefaultParagraphFont"/>
    <w:uiPriority w:val="99"/>
    <w:semiHidden/>
    <w:unhideWhenUsed/>
    <w:rsid w:val="009D7B02"/>
    <w:rPr>
      <w:sz w:val="16"/>
      <w:szCs w:val="16"/>
    </w:rPr>
  </w:style>
  <w:style w:type="paragraph" w:styleId="CommentSubject">
    <w:name w:val="annotation subject"/>
    <w:basedOn w:val="CommentText"/>
    <w:next w:val="CommentText"/>
    <w:link w:val="CommentSubjectChar"/>
    <w:uiPriority w:val="99"/>
    <w:semiHidden/>
    <w:unhideWhenUsed/>
    <w:rsid w:val="00C1266D"/>
    <w:pPr>
      <w:shd w:val="clear" w:color="auto" w:fill="auto"/>
    </w:pPr>
    <w:rPr>
      <w:rFonts w:asciiTheme="minorHAnsi" w:eastAsiaTheme="minorHAnsi" w:hAnsiTheme="minorHAnsi" w:cstheme="minorBidi"/>
      <w:bCs/>
      <w:color w:val="auto"/>
      <w:sz w:val="20"/>
    </w:rPr>
  </w:style>
  <w:style w:type="character" w:customStyle="1" w:styleId="CommentSubjectChar">
    <w:name w:val="Comment Subject Char"/>
    <w:basedOn w:val="CommentTextChar"/>
    <w:link w:val="CommentSubject"/>
    <w:uiPriority w:val="99"/>
    <w:semiHidden/>
    <w:rsid w:val="00C1266D"/>
    <w:rPr>
      <w:rFonts w:asciiTheme="minorHAnsi" w:eastAsia="Times New Roman" w:hAnsiTheme="minorHAnsi" w:cs="Times New Roman"/>
      <w:b/>
      <w:bCs/>
      <w:color w:val="0000FF"/>
      <w:sz w:val="20"/>
      <w:szCs w:val="20"/>
      <w:shd w:val="clear" w:color="auto" w:fill="C0C0C0"/>
    </w:rPr>
  </w:style>
  <w:style w:type="character" w:styleId="FollowedHyperlink">
    <w:name w:val="FollowedHyperlink"/>
    <w:basedOn w:val="DefaultParagraphFont"/>
    <w:uiPriority w:val="99"/>
    <w:semiHidden/>
    <w:unhideWhenUsed/>
    <w:rsid w:val="00446107"/>
    <w:rPr>
      <w:color w:val="800080" w:themeColor="followedHyperlink"/>
      <w:u w:val="single"/>
    </w:rPr>
  </w:style>
  <w:style w:type="paragraph" w:styleId="Revision">
    <w:name w:val="Revision"/>
    <w:hidden/>
    <w:uiPriority w:val="99"/>
    <w:semiHidden/>
    <w:rsid w:val="001309E1"/>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5454290">
      <w:bodyDiv w:val="1"/>
      <w:marLeft w:val="0"/>
      <w:marRight w:val="0"/>
      <w:marTop w:val="0"/>
      <w:marBottom w:val="0"/>
      <w:divBdr>
        <w:top w:val="none" w:sz="0" w:space="0" w:color="auto"/>
        <w:left w:val="none" w:sz="0" w:space="0" w:color="auto"/>
        <w:bottom w:val="none" w:sz="0" w:space="0" w:color="auto"/>
        <w:right w:val="none" w:sz="0" w:space="0" w:color="auto"/>
      </w:divBdr>
    </w:div>
    <w:div w:id="134594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microsoft.com/whdc/system/pnppwr/whea/WHEA_GenericErrorSource.msp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whdc/system/pnppwr/WHEA/default.m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pi.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1800</Words>
  <Characters>10262</Characters>
  <Application>Microsoft Office Word</Application>
  <DocSecurity>0</DocSecurity>
  <Lines>85</Lines>
  <Paragraphs>24</Paragraphs>
  <ScaleCrop>false</ScaleCrop>
  <Company/>
  <LinksUpToDate>false</LinksUpToDate>
  <CharactersWithSpaces>12038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2010-05-06T23:28:00Z</dcterms:created>
  <dcterms:modified xsi:type="dcterms:W3CDTF">2010-05-06T23:28:00Z</dcterms:modified>
  <cp:category/>
</cp:coreProperties>
</file>