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AE9" w:rsidRDefault="00532121" w:rsidP="00532121">
      <w:pPr>
        <w:pStyle w:val="Heading1"/>
        <w:rPr>
          <w:sz w:val="40"/>
        </w:rPr>
      </w:pPr>
      <w:r w:rsidRPr="00BD33D4">
        <w:rPr>
          <w:sz w:val="40"/>
        </w:rPr>
        <w:t>Getting Started with Kobe</w:t>
      </w:r>
    </w:p>
    <w:p w:rsidR="007E561B" w:rsidRDefault="007E561B" w:rsidP="007E561B">
      <w:pPr>
        <w:spacing w:after="0"/>
      </w:pPr>
    </w:p>
    <w:p w:rsidR="007E561B" w:rsidRDefault="007E561B" w:rsidP="007E561B">
      <w:pPr>
        <w:spacing w:after="0"/>
      </w:pPr>
      <w:r>
        <w:t xml:space="preserve">Karthik Ravindran and Masashi Narumoto </w:t>
      </w:r>
    </w:p>
    <w:p w:rsidR="007E561B" w:rsidRDefault="007E561B" w:rsidP="007E561B">
      <w:pPr>
        <w:spacing w:after="0"/>
      </w:pPr>
      <w:r>
        <w:t>Platform Architecture Team</w:t>
      </w:r>
    </w:p>
    <w:p w:rsidR="007E561B" w:rsidRDefault="007E561B" w:rsidP="007E561B">
      <w:pPr>
        <w:spacing w:after="0"/>
      </w:pPr>
      <w:r>
        <w:t xml:space="preserve">Microsoft Corporation </w:t>
      </w:r>
    </w:p>
    <w:p w:rsidR="007E561B" w:rsidRPr="007E561B" w:rsidRDefault="007E561B" w:rsidP="007E561B"/>
    <w:p w:rsidR="00532121" w:rsidRDefault="00532121" w:rsidP="00BD33D4">
      <w:pPr>
        <w:pStyle w:val="Heading1"/>
      </w:pPr>
      <w:r>
        <w:t>What is Kobe?</w:t>
      </w:r>
    </w:p>
    <w:p w:rsidR="00532121" w:rsidRDefault="00295F2C" w:rsidP="00DC2A13">
      <w:r>
        <w:t>Kobe is a “getting started” resource kit on planning, architecting, and implementing Web 2.0 applications and services using the Microsoft Platform.</w:t>
      </w:r>
      <w:r w:rsidR="00BD33D4">
        <w:t xml:space="preserve"> </w:t>
      </w:r>
    </w:p>
    <w:p w:rsidR="00532121" w:rsidRDefault="00532121" w:rsidP="00BD33D4">
      <w:pPr>
        <w:pStyle w:val="Heading1"/>
      </w:pPr>
      <w:r>
        <w:t>Target Audience</w:t>
      </w:r>
    </w:p>
    <w:p w:rsidR="00532121" w:rsidRDefault="00DC2A13" w:rsidP="00DC2A13">
      <w:r>
        <w:t xml:space="preserve">The target audiences for this </w:t>
      </w:r>
      <w:r w:rsidR="00483D65">
        <w:t>resource</w:t>
      </w:r>
      <w:r>
        <w:t xml:space="preserve"> kit are business/technology decision makers, solution architects, and developers in the aspiring web startups community and in enterprises/businesses looking to invest in new Web 2.0 application/service </w:t>
      </w:r>
      <w:r w:rsidR="005800CB">
        <w:t xml:space="preserve">development </w:t>
      </w:r>
      <w:r>
        <w:t xml:space="preserve">projects. The kit contains a broad range of content that caters to the needs of these audiences. </w:t>
      </w:r>
    </w:p>
    <w:p w:rsidR="001A4493" w:rsidRDefault="00606683" w:rsidP="00DC2A13">
      <w:r>
        <w:t>The drill down implementation related artifacts for the sample solution included in the kit is targeted at solution architects and developers who are familiar with the Microsoft Platform</w:t>
      </w:r>
      <w:r w:rsidR="002D29A5">
        <w:t xml:space="preserve"> and ASP.NET, and</w:t>
      </w:r>
      <w:r>
        <w:t xml:space="preserve"> who are looking for information on ways to apply the </w:t>
      </w:r>
      <w:r w:rsidR="002D29A5">
        <w:t xml:space="preserve">broader Microsoft </w:t>
      </w:r>
      <w:r>
        <w:t xml:space="preserve">platform offerings in the context of architecting and implementing Web 2.0 applications &amp; services. </w:t>
      </w:r>
    </w:p>
    <w:p w:rsidR="00606683" w:rsidRDefault="00606683" w:rsidP="00DC2A13">
      <w:r>
        <w:t xml:space="preserve">Audiences not familiar with the Microsoft Platform </w:t>
      </w:r>
      <w:r w:rsidR="00550082">
        <w:t xml:space="preserve">will also find value in the platform/technology agnostic content that covers the planning and architecting aspects , and in the implementation artifacts to obtain a broad overview/feel of the </w:t>
      </w:r>
      <w:r w:rsidR="004A7710">
        <w:t xml:space="preserve">related Microsoft platform/technology offerings. </w:t>
      </w:r>
    </w:p>
    <w:p w:rsidR="0049622E" w:rsidRDefault="0049622E">
      <w:pPr>
        <w:rPr>
          <w:rFonts w:asciiTheme="majorHAnsi" w:eastAsiaTheme="majorEastAsia" w:hAnsiTheme="majorHAnsi" w:cstheme="majorBidi"/>
          <w:b/>
          <w:bCs/>
          <w:color w:val="365F91" w:themeColor="accent1" w:themeShade="BF"/>
          <w:sz w:val="28"/>
          <w:szCs w:val="28"/>
        </w:rPr>
      </w:pPr>
      <w:r>
        <w:br w:type="page"/>
      </w:r>
    </w:p>
    <w:p w:rsidR="00813049" w:rsidRDefault="00813049" w:rsidP="00813049">
      <w:pPr>
        <w:pStyle w:val="Heading1"/>
      </w:pPr>
      <w:r>
        <w:lastRenderedPageBreak/>
        <w:t>Setting up the Kobe Kit</w:t>
      </w:r>
    </w:p>
    <w:p w:rsidR="00813049" w:rsidRDefault="00813049" w:rsidP="00813049">
      <w:r>
        <w:t xml:space="preserve">Setting up the Kobe kit is simple. You need to download and extract </w:t>
      </w:r>
      <w:r w:rsidR="002A6EE6">
        <w:t xml:space="preserve">the Kobe Kit Resources (listed on the </w:t>
      </w:r>
      <w:hyperlink r:id="rId8" w:history="1">
        <w:r w:rsidR="002A6EE6" w:rsidRPr="002A6EE6">
          <w:rPr>
            <w:rStyle w:val="Hyperlink"/>
          </w:rPr>
          <w:t>Kobe Kit MSDN page</w:t>
        </w:r>
      </w:hyperlink>
      <w:r w:rsidR="002A6EE6">
        <w:t xml:space="preserve">) </w:t>
      </w:r>
      <w:r>
        <w:t xml:space="preserve">to your local file system to setup and start exploring the kit. </w:t>
      </w:r>
    </w:p>
    <w:p w:rsidR="00813049" w:rsidRDefault="00813049" w:rsidP="00813049">
      <w:r>
        <w:t xml:space="preserve">Create a folder at the root of your hard drive to store the Kobe kit artifacts. </w:t>
      </w:r>
      <w:r w:rsidR="007120E4">
        <w:t xml:space="preserve">You can name this folder whatever you want, and it will be referred to as the &lt;Kobe Kit Folder&gt; in this document. </w:t>
      </w:r>
    </w:p>
    <w:p w:rsidR="007120E4" w:rsidRDefault="007120E4" w:rsidP="00813049">
      <w:r>
        <w:t xml:space="preserve">Download and extract the </w:t>
      </w:r>
      <w:r w:rsidR="002A6EE6">
        <w:t>following resources</w:t>
      </w:r>
      <w:r>
        <w:t xml:space="preserve"> </w:t>
      </w:r>
      <w:r w:rsidR="002A6EE6">
        <w:t>(all packaged as ZIP files</w:t>
      </w:r>
      <w:r>
        <w:t xml:space="preserve">) </w:t>
      </w:r>
      <w:r w:rsidR="00E72179">
        <w:t>directly under</w:t>
      </w:r>
      <w:r>
        <w:t xml:space="preserve"> the &lt;Kobe Kit Folder&gt;: </w:t>
      </w:r>
    </w:p>
    <w:tbl>
      <w:tblPr>
        <w:tblStyle w:val="LightShading-Accent11"/>
        <w:tblW w:w="0" w:type="auto"/>
        <w:tblLook w:val="04A0"/>
      </w:tblPr>
      <w:tblGrid>
        <w:gridCol w:w="1908"/>
        <w:gridCol w:w="3060"/>
        <w:gridCol w:w="4608"/>
      </w:tblGrid>
      <w:tr w:rsidR="007120E4" w:rsidRPr="007120E4" w:rsidTr="00B75291">
        <w:trPr>
          <w:cnfStyle w:val="100000000000"/>
        </w:trPr>
        <w:tc>
          <w:tcPr>
            <w:cnfStyle w:val="001000000000"/>
            <w:tcW w:w="1908" w:type="dxa"/>
          </w:tcPr>
          <w:p w:rsidR="007120E4" w:rsidRPr="007120E4" w:rsidRDefault="002A6EE6" w:rsidP="00EA427B">
            <w:r>
              <w:t>Resource</w:t>
            </w:r>
          </w:p>
        </w:tc>
        <w:tc>
          <w:tcPr>
            <w:tcW w:w="3060" w:type="dxa"/>
          </w:tcPr>
          <w:p w:rsidR="007120E4" w:rsidRPr="007120E4" w:rsidRDefault="007120E4" w:rsidP="00EA427B">
            <w:pPr>
              <w:cnfStyle w:val="100000000000"/>
            </w:pPr>
            <w:r>
              <w:t>On extraction</w:t>
            </w:r>
          </w:p>
        </w:tc>
        <w:tc>
          <w:tcPr>
            <w:tcW w:w="4608" w:type="dxa"/>
          </w:tcPr>
          <w:p w:rsidR="007120E4" w:rsidRPr="007120E4" w:rsidRDefault="007120E4" w:rsidP="00EA427B">
            <w:pPr>
              <w:cnfStyle w:val="100000000000"/>
            </w:pPr>
            <w:r>
              <w:t>Contents</w:t>
            </w:r>
          </w:p>
        </w:tc>
      </w:tr>
      <w:tr w:rsidR="007120E4" w:rsidRPr="007120E4" w:rsidTr="00B75291">
        <w:trPr>
          <w:cnfStyle w:val="000000100000"/>
        </w:trPr>
        <w:tc>
          <w:tcPr>
            <w:cnfStyle w:val="001000000000"/>
            <w:tcW w:w="1908" w:type="dxa"/>
          </w:tcPr>
          <w:p w:rsidR="007120E4" w:rsidRPr="007120E4" w:rsidRDefault="007120E4" w:rsidP="002A6EE6">
            <w:pPr>
              <w:rPr>
                <w:b w:val="0"/>
              </w:rPr>
            </w:pPr>
            <w:r w:rsidRPr="007120E4">
              <w:rPr>
                <w:b w:val="0"/>
              </w:rPr>
              <w:t>Presentations</w:t>
            </w:r>
          </w:p>
        </w:tc>
        <w:tc>
          <w:tcPr>
            <w:tcW w:w="3060" w:type="dxa"/>
          </w:tcPr>
          <w:p w:rsidR="007120E4" w:rsidRPr="007120E4" w:rsidRDefault="007120E4" w:rsidP="00CE6A56">
            <w:pPr>
              <w:cnfStyle w:val="000000100000"/>
            </w:pPr>
            <w:r>
              <w:t>C</w:t>
            </w:r>
            <w:r w:rsidR="00CE6A56">
              <w:t xml:space="preserve">reates a  folder named </w:t>
            </w:r>
            <w:r>
              <w:t>Presentations</w:t>
            </w:r>
          </w:p>
        </w:tc>
        <w:tc>
          <w:tcPr>
            <w:tcW w:w="4608" w:type="dxa"/>
          </w:tcPr>
          <w:p w:rsidR="007120E4" w:rsidRPr="007120E4" w:rsidRDefault="00B06AF8" w:rsidP="00B06AF8">
            <w:pPr>
              <w:cnfStyle w:val="000000100000"/>
            </w:pPr>
            <w:r>
              <w:t xml:space="preserve">PowerPoint decks (with slide notes) </w:t>
            </w:r>
            <w:r w:rsidR="000F2599">
              <w:t xml:space="preserve">on Planning, Architecting, and Implementing Web 2.0 Services </w:t>
            </w:r>
          </w:p>
        </w:tc>
      </w:tr>
      <w:tr w:rsidR="007120E4" w:rsidRPr="007120E4" w:rsidTr="00B75291">
        <w:tc>
          <w:tcPr>
            <w:cnfStyle w:val="001000000000"/>
            <w:tcW w:w="1908" w:type="dxa"/>
          </w:tcPr>
          <w:p w:rsidR="007120E4" w:rsidRPr="007120E4" w:rsidRDefault="007120E4" w:rsidP="002A6EE6">
            <w:pPr>
              <w:rPr>
                <w:b w:val="0"/>
              </w:rPr>
            </w:pPr>
            <w:r w:rsidRPr="007120E4">
              <w:rPr>
                <w:b w:val="0"/>
              </w:rPr>
              <w:t>Documents</w:t>
            </w:r>
          </w:p>
        </w:tc>
        <w:tc>
          <w:tcPr>
            <w:tcW w:w="3060" w:type="dxa"/>
          </w:tcPr>
          <w:p w:rsidR="007120E4" w:rsidRPr="007120E4" w:rsidRDefault="00CE6A56" w:rsidP="00CE6A56">
            <w:pPr>
              <w:cnfStyle w:val="000000000000"/>
            </w:pPr>
            <w:r>
              <w:t>Creates a folder named Documents</w:t>
            </w:r>
          </w:p>
        </w:tc>
        <w:tc>
          <w:tcPr>
            <w:tcW w:w="4608" w:type="dxa"/>
          </w:tcPr>
          <w:p w:rsidR="007120E4" w:rsidRPr="007120E4" w:rsidRDefault="00CE6A56" w:rsidP="00EA427B">
            <w:pPr>
              <w:cnfStyle w:val="000000000000"/>
            </w:pPr>
            <w:r>
              <w:t>Project overview and drill down documents</w:t>
            </w:r>
          </w:p>
        </w:tc>
      </w:tr>
      <w:tr w:rsidR="007120E4" w:rsidRPr="007120E4" w:rsidTr="00B75291">
        <w:trPr>
          <w:cnfStyle w:val="000000100000"/>
        </w:trPr>
        <w:tc>
          <w:tcPr>
            <w:cnfStyle w:val="001000000000"/>
            <w:tcW w:w="1908" w:type="dxa"/>
          </w:tcPr>
          <w:p w:rsidR="007120E4" w:rsidRPr="007120E4" w:rsidRDefault="007120E4" w:rsidP="002A6EE6">
            <w:pPr>
              <w:rPr>
                <w:b w:val="0"/>
              </w:rPr>
            </w:pPr>
            <w:r w:rsidRPr="007120E4">
              <w:rPr>
                <w:b w:val="0"/>
              </w:rPr>
              <w:t>Projects</w:t>
            </w:r>
          </w:p>
        </w:tc>
        <w:tc>
          <w:tcPr>
            <w:tcW w:w="3060" w:type="dxa"/>
          </w:tcPr>
          <w:p w:rsidR="007120E4" w:rsidRPr="007120E4" w:rsidRDefault="00CE6A56" w:rsidP="00CE6A56">
            <w:pPr>
              <w:cnfStyle w:val="000000100000"/>
            </w:pPr>
            <w:r>
              <w:t>Creates a folder named Projects</w:t>
            </w:r>
          </w:p>
        </w:tc>
        <w:tc>
          <w:tcPr>
            <w:tcW w:w="4608" w:type="dxa"/>
          </w:tcPr>
          <w:p w:rsidR="007120E4" w:rsidRPr="007120E4" w:rsidRDefault="00CE6A56" w:rsidP="00EA427B">
            <w:pPr>
              <w:cnfStyle w:val="000000100000"/>
            </w:pPr>
            <w:r>
              <w:t xml:space="preserve">Source projects </w:t>
            </w:r>
          </w:p>
        </w:tc>
      </w:tr>
      <w:tr w:rsidR="009617E4" w:rsidRPr="009617E4" w:rsidTr="00B75291">
        <w:trPr>
          <w:trHeight w:val="297"/>
        </w:trPr>
        <w:tc>
          <w:tcPr>
            <w:cnfStyle w:val="001000000000"/>
            <w:tcW w:w="1908" w:type="dxa"/>
          </w:tcPr>
          <w:p w:rsidR="009617E4" w:rsidRPr="009617E4" w:rsidRDefault="002A6EE6" w:rsidP="00EA427B">
            <w:pPr>
              <w:rPr>
                <w:b w:val="0"/>
              </w:rPr>
            </w:pPr>
            <w:r>
              <w:rPr>
                <w:b w:val="0"/>
              </w:rPr>
              <w:t>Project Resources and Images</w:t>
            </w:r>
          </w:p>
        </w:tc>
        <w:tc>
          <w:tcPr>
            <w:tcW w:w="3060" w:type="dxa"/>
          </w:tcPr>
          <w:p w:rsidR="009617E4" w:rsidRPr="009617E4" w:rsidRDefault="009617E4" w:rsidP="00CE6A56">
            <w:pPr>
              <w:cnfStyle w:val="000000000000"/>
            </w:pPr>
            <w:r>
              <w:t>Creates a folder named Store</w:t>
            </w:r>
          </w:p>
        </w:tc>
        <w:tc>
          <w:tcPr>
            <w:tcW w:w="4608" w:type="dxa"/>
          </w:tcPr>
          <w:p w:rsidR="009617E4" w:rsidRDefault="00B75291" w:rsidP="00EA427B">
            <w:pPr>
              <w:cnfStyle w:val="000000000000"/>
            </w:pPr>
            <w:r>
              <w:t xml:space="preserve">Images used by the sample service. </w:t>
            </w:r>
          </w:p>
          <w:p w:rsidR="00B75291" w:rsidRDefault="00B75291" w:rsidP="00EA427B">
            <w:pPr>
              <w:cnfStyle w:val="000000000000"/>
            </w:pPr>
          </w:p>
          <w:p w:rsidR="00B75291" w:rsidRPr="009617E4" w:rsidRDefault="00B75291" w:rsidP="00EA427B">
            <w:pPr>
              <w:cnfStyle w:val="000000000000"/>
            </w:pPr>
            <w:r>
              <w:t xml:space="preserve">Copy the contents of this folder to the </w:t>
            </w:r>
            <w:r w:rsidRPr="00B75291">
              <w:rPr>
                <w:b/>
              </w:rPr>
              <w:t>&lt;Kobe Kit Folder&gt;\Projects\Kobe\Kobe.Web.UI\Store</w:t>
            </w:r>
            <w:r>
              <w:t xml:space="preserve"> folder</w:t>
            </w:r>
          </w:p>
        </w:tc>
      </w:tr>
    </w:tbl>
    <w:p w:rsidR="007120E4" w:rsidRDefault="007120E4" w:rsidP="00813049"/>
    <w:p w:rsidR="00E72179" w:rsidRPr="00813049" w:rsidRDefault="00E72179" w:rsidP="00813049">
      <w:r w:rsidRPr="00E72179">
        <w:rPr>
          <w:u w:val="single"/>
        </w:rPr>
        <w:t>Note:</w:t>
      </w:r>
      <w:r>
        <w:t xml:space="preserve"> If your &lt;Kobe kit folder&gt; is C:\Kobe, then extract the contents of each of the above listed ZIP files directly to this location. Make sure to remove the auto-generated folder name under the &lt;Kobe kit folder&gt; in the file extraction UI to avoid creating nested folders like C:\Kobe\Presentations\Presentations etc. </w:t>
      </w:r>
    </w:p>
    <w:p w:rsidR="008726EF" w:rsidRDefault="008726EF">
      <w:pPr>
        <w:rPr>
          <w:rFonts w:asciiTheme="majorHAnsi" w:eastAsiaTheme="majorEastAsia" w:hAnsiTheme="majorHAnsi" w:cstheme="majorBidi"/>
          <w:b/>
          <w:bCs/>
          <w:color w:val="365F91" w:themeColor="accent1" w:themeShade="BF"/>
          <w:sz w:val="28"/>
          <w:szCs w:val="28"/>
        </w:rPr>
      </w:pPr>
      <w:r>
        <w:br w:type="page"/>
      </w:r>
    </w:p>
    <w:p w:rsidR="00532121" w:rsidRDefault="00532121" w:rsidP="00BD33D4">
      <w:pPr>
        <w:pStyle w:val="Heading1"/>
      </w:pPr>
      <w:r>
        <w:lastRenderedPageBreak/>
        <w:t xml:space="preserve">Exploring </w:t>
      </w:r>
      <w:r w:rsidR="00C024EF">
        <w:t>the K</w:t>
      </w:r>
      <w:r>
        <w:t>obe</w:t>
      </w:r>
      <w:r w:rsidR="00C024EF">
        <w:t xml:space="preserve"> Kit</w:t>
      </w:r>
    </w:p>
    <w:p w:rsidR="00532121" w:rsidRDefault="000F31E6" w:rsidP="000F31E6">
      <w:r>
        <w:t xml:space="preserve">It is recommended that you explore the content in the following sequence: </w:t>
      </w:r>
    </w:p>
    <w:tbl>
      <w:tblPr>
        <w:tblStyle w:val="LightShading-Accent11"/>
        <w:tblW w:w="0" w:type="auto"/>
        <w:tblLook w:val="04A0"/>
      </w:tblPr>
      <w:tblGrid>
        <w:gridCol w:w="2080"/>
        <w:gridCol w:w="2455"/>
        <w:gridCol w:w="2593"/>
        <w:gridCol w:w="144"/>
        <w:gridCol w:w="2304"/>
      </w:tblGrid>
      <w:tr w:rsidR="00606683" w:rsidTr="00606683">
        <w:trPr>
          <w:cnfStyle w:val="100000000000"/>
        </w:trPr>
        <w:tc>
          <w:tcPr>
            <w:cnfStyle w:val="001000000000"/>
            <w:tcW w:w="2080" w:type="dxa"/>
          </w:tcPr>
          <w:p w:rsidR="00606683" w:rsidRDefault="00606683" w:rsidP="000F31E6">
            <w:r>
              <w:t>Artifact</w:t>
            </w:r>
            <w:r w:rsidR="0046415B">
              <w:t>(s)</w:t>
            </w:r>
          </w:p>
        </w:tc>
        <w:tc>
          <w:tcPr>
            <w:tcW w:w="2455" w:type="dxa"/>
          </w:tcPr>
          <w:p w:rsidR="00606683" w:rsidRDefault="00606683" w:rsidP="000F31E6">
            <w:pPr>
              <w:cnfStyle w:val="100000000000"/>
            </w:pPr>
            <w:r>
              <w:t>Content Type</w:t>
            </w:r>
          </w:p>
        </w:tc>
        <w:tc>
          <w:tcPr>
            <w:tcW w:w="2593" w:type="dxa"/>
          </w:tcPr>
          <w:p w:rsidR="00606683" w:rsidRDefault="00606683" w:rsidP="000F31E6">
            <w:pPr>
              <w:cnfStyle w:val="100000000000"/>
            </w:pPr>
            <w:r>
              <w:t>Audience</w:t>
            </w:r>
          </w:p>
        </w:tc>
        <w:tc>
          <w:tcPr>
            <w:tcW w:w="2448" w:type="dxa"/>
            <w:gridSpan w:val="2"/>
          </w:tcPr>
          <w:p w:rsidR="00606683" w:rsidRDefault="00606683" w:rsidP="008726EF">
            <w:pPr>
              <w:cnfStyle w:val="100000000000"/>
            </w:pPr>
            <w:r>
              <w:t xml:space="preserve">Location </w:t>
            </w:r>
          </w:p>
        </w:tc>
      </w:tr>
      <w:tr w:rsidR="00606683" w:rsidRPr="00C024EF" w:rsidTr="00606683">
        <w:trPr>
          <w:cnfStyle w:val="000000100000"/>
        </w:trPr>
        <w:tc>
          <w:tcPr>
            <w:cnfStyle w:val="001000000000"/>
            <w:tcW w:w="2080" w:type="dxa"/>
          </w:tcPr>
          <w:p w:rsidR="00606683" w:rsidRPr="00C024EF" w:rsidRDefault="0046415B" w:rsidP="000F31E6">
            <w:pPr>
              <w:rPr>
                <w:b w:val="0"/>
              </w:rPr>
            </w:pPr>
            <w:r>
              <w:rPr>
                <w:b w:val="0"/>
              </w:rPr>
              <w:t>Voice over presentations</w:t>
            </w:r>
          </w:p>
        </w:tc>
        <w:tc>
          <w:tcPr>
            <w:tcW w:w="2455" w:type="dxa"/>
          </w:tcPr>
          <w:p w:rsidR="00606683" w:rsidRPr="00C024EF" w:rsidRDefault="00606683" w:rsidP="0046415B">
            <w:pPr>
              <w:cnfStyle w:val="000000100000"/>
            </w:pPr>
            <w:r>
              <w:t xml:space="preserve">Voice over Presentation </w:t>
            </w:r>
          </w:p>
        </w:tc>
        <w:tc>
          <w:tcPr>
            <w:tcW w:w="2737" w:type="dxa"/>
            <w:gridSpan w:val="2"/>
          </w:tcPr>
          <w:p w:rsidR="00606683" w:rsidRPr="00C024EF" w:rsidRDefault="00606683" w:rsidP="000F31E6">
            <w:pPr>
              <w:cnfStyle w:val="000000100000"/>
            </w:pPr>
            <w:r>
              <w:t>Decision Makers, Solution Architects</w:t>
            </w:r>
          </w:p>
        </w:tc>
        <w:tc>
          <w:tcPr>
            <w:tcW w:w="2304" w:type="dxa"/>
          </w:tcPr>
          <w:p w:rsidR="00606683" w:rsidRDefault="008726EF" w:rsidP="0046415B">
            <w:pPr>
              <w:cnfStyle w:val="000000100000"/>
            </w:pPr>
            <w:hyperlink r:id="rId9" w:history="1">
              <w:r w:rsidRPr="008726EF">
                <w:rPr>
                  <w:rStyle w:val="Hyperlink"/>
                </w:rPr>
                <w:t>Kobe MSDN pa</w:t>
              </w:r>
              <w:r w:rsidRPr="008726EF">
                <w:rPr>
                  <w:rStyle w:val="Hyperlink"/>
                </w:rPr>
                <w:t>g</w:t>
              </w:r>
              <w:r w:rsidRPr="008726EF">
                <w:rPr>
                  <w:rStyle w:val="Hyperlink"/>
                </w:rPr>
                <w:t>e</w:t>
              </w:r>
            </w:hyperlink>
          </w:p>
        </w:tc>
      </w:tr>
      <w:tr w:rsidR="00606683" w:rsidRPr="00C024EF" w:rsidTr="00606683">
        <w:tc>
          <w:tcPr>
            <w:cnfStyle w:val="001000000000"/>
            <w:tcW w:w="2080" w:type="dxa"/>
          </w:tcPr>
          <w:p w:rsidR="00606683" w:rsidRDefault="00606683" w:rsidP="000F31E6">
            <w:pPr>
              <w:rPr>
                <w:b w:val="0"/>
              </w:rPr>
            </w:pPr>
            <w:r>
              <w:rPr>
                <w:b w:val="0"/>
              </w:rPr>
              <w:t>Project Kobe Overview</w:t>
            </w:r>
          </w:p>
          <w:p w:rsidR="00606683" w:rsidRPr="00C024EF" w:rsidRDefault="00606683" w:rsidP="000F31E6">
            <w:pPr>
              <w:rPr>
                <w:b w:val="0"/>
              </w:rPr>
            </w:pPr>
            <w:r>
              <w:rPr>
                <w:b w:val="0"/>
              </w:rPr>
              <w:t>White Paper</w:t>
            </w:r>
          </w:p>
        </w:tc>
        <w:tc>
          <w:tcPr>
            <w:tcW w:w="2455" w:type="dxa"/>
          </w:tcPr>
          <w:p w:rsidR="00606683" w:rsidRPr="00C024EF" w:rsidRDefault="00606683" w:rsidP="000F31E6">
            <w:pPr>
              <w:cnfStyle w:val="000000000000"/>
            </w:pPr>
            <w:r>
              <w:t>White Paper</w:t>
            </w:r>
          </w:p>
        </w:tc>
        <w:tc>
          <w:tcPr>
            <w:tcW w:w="2737" w:type="dxa"/>
            <w:gridSpan w:val="2"/>
          </w:tcPr>
          <w:p w:rsidR="00606683" w:rsidRPr="00C024EF" w:rsidRDefault="00606683" w:rsidP="000F31E6">
            <w:pPr>
              <w:cnfStyle w:val="000000000000"/>
            </w:pPr>
            <w:r>
              <w:t>Decision Makers, Solution Architects</w:t>
            </w:r>
          </w:p>
        </w:tc>
        <w:tc>
          <w:tcPr>
            <w:tcW w:w="2304" w:type="dxa"/>
          </w:tcPr>
          <w:p w:rsidR="00606683" w:rsidRDefault="00813049" w:rsidP="00846089">
            <w:pPr>
              <w:cnfStyle w:val="000000000000"/>
            </w:pPr>
            <w:r>
              <w:t>&lt;Kobe Kit Folder&gt;</w:t>
            </w:r>
            <w:r w:rsidR="00606683">
              <w:t>\</w:t>
            </w:r>
            <w:r w:rsidR="00846089">
              <w:t>Documents</w:t>
            </w:r>
          </w:p>
        </w:tc>
      </w:tr>
      <w:tr w:rsidR="00606683" w:rsidRPr="00C024EF" w:rsidTr="00606683">
        <w:trPr>
          <w:cnfStyle w:val="000000100000"/>
        </w:trPr>
        <w:tc>
          <w:tcPr>
            <w:cnfStyle w:val="001000000000"/>
            <w:tcW w:w="2080" w:type="dxa"/>
          </w:tcPr>
          <w:p w:rsidR="00606683" w:rsidRDefault="00606683" w:rsidP="000F31E6">
            <w:pPr>
              <w:rPr>
                <w:b w:val="0"/>
              </w:rPr>
            </w:pPr>
            <w:r>
              <w:rPr>
                <w:b w:val="0"/>
              </w:rPr>
              <w:t xml:space="preserve">Project Kobe </w:t>
            </w:r>
            <w:r w:rsidR="00A4553A">
              <w:rPr>
                <w:b w:val="0"/>
              </w:rPr>
              <w:t xml:space="preserve">Implementation </w:t>
            </w:r>
            <w:r>
              <w:rPr>
                <w:b w:val="0"/>
              </w:rPr>
              <w:t xml:space="preserve">Drill Down </w:t>
            </w:r>
          </w:p>
          <w:p w:rsidR="00606683" w:rsidRPr="00C024EF" w:rsidRDefault="00606683" w:rsidP="000F31E6">
            <w:pPr>
              <w:rPr>
                <w:b w:val="0"/>
              </w:rPr>
            </w:pPr>
            <w:r>
              <w:rPr>
                <w:b w:val="0"/>
              </w:rPr>
              <w:t>White Paper</w:t>
            </w:r>
          </w:p>
        </w:tc>
        <w:tc>
          <w:tcPr>
            <w:tcW w:w="2455" w:type="dxa"/>
          </w:tcPr>
          <w:p w:rsidR="00606683" w:rsidRPr="00C024EF" w:rsidRDefault="00606683" w:rsidP="000F31E6">
            <w:pPr>
              <w:cnfStyle w:val="000000100000"/>
            </w:pPr>
            <w:r>
              <w:t>White Paper</w:t>
            </w:r>
          </w:p>
        </w:tc>
        <w:tc>
          <w:tcPr>
            <w:tcW w:w="2737" w:type="dxa"/>
            <w:gridSpan w:val="2"/>
          </w:tcPr>
          <w:p w:rsidR="00606683" w:rsidRPr="00C024EF" w:rsidRDefault="00606683" w:rsidP="000F31E6">
            <w:pPr>
              <w:cnfStyle w:val="000000100000"/>
            </w:pPr>
            <w:r>
              <w:t>Solution Architects, Developers</w:t>
            </w:r>
          </w:p>
        </w:tc>
        <w:tc>
          <w:tcPr>
            <w:tcW w:w="2304" w:type="dxa"/>
          </w:tcPr>
          <w:p w:rsidR="00606683" w:rsidRDefault="00813049" w:rsidP="00846089">
            <w:pPr>
              <w:cnfStyle w:val="000000100000"/>
            </w:pPr>
            <w:r>
              <w:t>&lt;Kobe Kit Folder&gt;</w:t>
            </w:r>
            <w:r w:rsidR="00606683">
              <w:t>\</w:t>
            </w:r>
            <w:r w:rsidR="00846089">
              <w:t>Documents</w:t>
            </w:r>
          </w:p>
        </w:tc>
      </w:tr>
      <w:tr w:rsidR="00606683" w:rsidRPr="00C024EF" w:rsidTr="00606683">
        <w:tc>
          <w:tcPr>
            <w:cnfStyle w:val="001000000000"/>
            <w:tcW w:w="2080" w:type="dxa"/>
          </w:tcPr>
          <w:p w:rsidR="00606683" w:rsidRPr="00C024EF" w:rsidRDefault="00606683" w:rsidP="000F31E6">
            <w:pPr>
              <w:rPr>
                <w:b w:val="0"/>
              </w:rPr>
            </w:pPr>
            <w:r>
              <w:rPr>
                <w:b w:val="0"/>
              </w:rPr>
              <w:t>Planet PPT Sample Service</w:t>
            </w:r>
          </w:p>
        </w:tc>
        <w:tc>
          <w:tcPr>
            <w:tcW w:w="2455" w:type="dxa"/>
          </w:tcPr>
          <w:p w:rsidR="00606683" w:rsidRDefault="00606683" w:rsidP="000F31E6">
            <w:pPr>
              <w:cnfStyle w:val="000000000000"/>
            </w:pPr>
            <w:r>
              <w:t>Sample Service Implementation</w:t>
            </w:r>
          </w:p>
          <w:p w:rsidR="00606683" w:rsidRPr="00C024EF" w:rsidRDefault="00606683" w:rsidP="000F31E6">
            <w:pPr>
              <w:cnfStyle w:val="000000000000"/>
            </w:pPr>
            <w:r>
              <w:t>with source code</w:t>
            </w:r>
          </w:p>
        </w:tc>
        <w:tc>
          <w:tcPr>
            <w:tcW w:w="2737" w:type="dxa"/>
            <w:gridSpan w:val="2"/>
          </w:tcPr>
          <w:p w:rsidR="00606683" w:rsidRPr="00C024EF" w:rsidRDefault="00606683" w:rsidP="000F31E6">
            <w:pPr>
              <w:cnfStyle w:val="000000000000"/>
            </w:pPr>
            <w:r>
              <w:t>Solution Architects, Developers</w:t>
            </w:r>
          </w:p>
        </w:tc>
        <w:tc>
          <w:tcPr>
            <w:tcW w:w="2304" w:type="dxa"/>
          </w:tcPr>
          <w:p w:rsidR="00606683" w:rsidRDefault="00813049" w:rsidP="000F31E6">
            <w:pPr>
              <w:cnfStyle w:val="000000000000"/>
            </w:pPr>
            <w:r>
              <w:t>&lt;Kobe Kit Folder&gt;</w:t>
            </w:r>
            <w:r w:rsidR="00606683">
              <w:t>\Projects\Kobe</w:t>
            </w:r>
          </w:p>
        </w:tc>
      </w:tr>
    </w:tbl>
    <w:p w:rsidR="00C024EF" w:rsidRDefault="000234D5" w:rsidP="00C024EF">
      <w:pPr>
        <w:pStyle w:val="Heading1"/>
      </w:pPr>
      <w:r>
        <w:t xml:space="preserve">Exploring </w:t>
      </w:r>
      <w:r w:rsidR="00C024EF">
        <w:t xml:space="preserve">the </w:t>
      </w:r>
      <w:r w:rsidR="002846E5">
        <w:t>Sample Service</w:t>
      </w:r>
    </w:p>
    <w:p w:rsidR="002846E5" w:rsidRDefault="002846E5" w:rsidP="002846E5">
      <w:r>
        <w:t xml:space="preserve">The Kobe kit includes a fully functional sample service called Planet PPT. The goal of the sample is to provide </w:t>
      </w:r>
      <w:r w:rsidR="009617E4">
        <w:t xml:space="preserve">solution architects and </w:t>
      </w:r>
      <w:r>
        <w:t xml:space="preserve">developers a meaningful sample project (with source) that can be explored to drill in and learn about implementing web 2.0 applications and services on the Microsoft Web Platform. The sample service is packaged to enable </w:t>
      </w:r>
      <w:r w:rsidR="00671236">
        <w:t xml:space="preserve">a </w:t>
      </w:r>
      <w:r>
        <w:t xml:space="preserve">simple deployment </w:t>
      </w:r>
      <w:r w:rsidR="00671236">
        <w:t xml:space="preserve">experience </w:t>
      </w:r>
      <w:r>
        <w:t xml:space="preserve">on a developer workstation.  </w:t>
      </w:r>
    </w:p>
    <w:p w:rsidR="00F7484C" w:rsidRPr="00F7484C" w:rsidRDefault="00F7484C" w:rsidP="002846E5">
      <w:r w:rsidRPr="00F7484C">
        <w:rPr>
          <w:u w:val="single"/>
        </w:rPr>
        <w:t xml:space="preserve">Note: </w:t>
      </w:r>
      <w:r>
        <w:t xml:space="preserve"> The goal of the sample service is to serve as a developer example that illustrates the implementation of Web 2.0 applications and services on the Microsoft Web Platform. It is not intended to be a production scale solution. Users are encouraged to apply the concepts and practices illustrated in the sample service, in their custom projects. </w:t>
      </w:r>
    </w:p>
    <w:p w:rsidR="00AD3778" w:rsidRDefault="00AD3778" w:rsidP="000234D5">
      <w:pPr>
        <w:pStyle w:val="Heading2"/>
      </w:pPr>
      <w:r>
        <w:t>Supported Operating Systems</w:t>
      </w:r>
    </w:p>
    <w:p w:rsidR="00AD3778" w:rsidRDefault="00AD3778" w:rsidP="00AD3778">
      <w:pPr>
        <w:spacing w:after="0"/>
      </w:pPr>
      <w:r>
        <w:t xml:space="preserve">Microsoft Windows Vista </w:t>
      </w:r>
    </w:p>
    <w:p w:rsidR="00AD3778" w:rsidRDefault="00AD3778" w:rsidP="00AD3778">
      <w:pPr>
        <w:spacing w:after="0"/>
      </w:pPr>
      <w:r>
        <w:t>Microsoft Windows Server 2008</w:t>
      </w:r>
    </w:p>
    <w:p w:rsidR="00FA75A5" w:rsidRDefault="00FA75A5" w:rsidP="00AD3778">
      <w:pPr>
        <w:spacing w:after="0"/>
      </w:pPr>
      <w:r>
        <w:t>Microsoft Windows XP with Service Pack 2 or higher</w:t>
      </w:r>
    </w:p>
    <w:p w:rsidR="00FA75A5" w:rsidRPr="00AD3778" w:rsidRDefault="00FA75A5" w:rsidP="00AD3778">
      <w:pPr>
        <w:spacing w:after="0"/>
      </w:pPr>
      <w:r>
        <w:t>Microsoft Windows Server 2003</w:t>
      </w:r>
    </w:p>
    <w:p w:rsidR="000234D5" w:rsidRDefault="00AD3778" w:rsidP="000234D5">
      <w:pPr>
        <w:pStyle w:val="Heading2"/>
      </w:pPr>
      <w:r>
        <w:t xml:space="preserve">Installing </w:t>
      </w:r>
      <w:r w:rsidR="002846E5">
        <w:t xml:space="preserve">the Microsoft Web Platform </w:t>
      </w:r>
      <w:r>
        <w:t>Pre-requisites</w:t>
      </w:r>
    </w:p>
    <w:p w:rsidR="00C024EF" w:rsidRDefault="004810BA" w:rsidP="000F31E6">
      <w:r>
        <w:t xml:space="preserve">The </w:t>
      </w:r>
      <w:hyperlink r:id="rId10" w:history="1">
        <w:r w:rsidRPr="00FC2B04">
          <w:rPr>
            <w:rStyle w:val="Hyperlink"/>
          </w:rPr>
          <w:t>Microsoft Web Platform Installer</w:t>
        </w:r>
      </w:hyperlink>
      <w:r>
        <w:t xml:space="preserve"> can be used to install </w:t>
      </w:r>
      <w:r w:rsidR="002846E5">
        <w:t xml:space="preserve">&amp; configure </w:t>
      </w:r>
      <w:r w:rsidR="00AD3778">
        <w:t xml:space="preserve">the </w:t>
      </w:r>
      <w:r w:rsidR="002846E5">
        <w:t>Microsoft Web Platform pre-requisites required to</w:t>
      </w:r>
      <w:r>
        <w:t xml:space="preserve"> explore/run the Planet PPT Sample Service implementation. </w:t>
      </w:r>
      <w:r w:rsidR="002846E5">
        <w:t>You can launch the installer from the link provided above</w:t>
      </w:r>
      <w:r w:rsidR="00166D3C">
        <w:t>, choose the custom installation mode,</w:t>
      </w:r>
      <w:r w:rsidR="002846E5">
        <w:t xml:space="preserve"> and select the following components from the </w:t>
      </w:r>
      <w:r w:rsidR="002846E5" w:rsidRPr="002846E5">
        <w:rPr>
          <w:b/>
        </w:rPr>
        <w:t>All</w:t>
      </w:r>
      <w:r w:rsidR="002846E5">
        <w:t xml:space="preserve"> tab of the installer UI to setup and configure the required web platform components on a developer workstation</w:t>
      </w:r>
      <w:r w:rsidR="002833D7">
        <w:t xml:space="preserve"> (</w:t>
      </w:r>
      <w:r w:rsidR="002833D7" w:rsidRPr="006305CF">
        <w:rPr>
          <w:u w:val="single"/>
        </w:rPr>
        <w:t>Note:</w:t>
      </w:r>
      <w:r w:rsidR="002833D7">
        <w:t xml:space="preserve"> You only need to install the components that you do not already have installed)</w:t>
      </w:r>
      <w:r w:rsidR="002846E5">
        <w:t xml:space="preserve">: </w:t>
      </w:r>
    </w:p>
    <w:tbl>
      <w:tblPr>
        <w:tblStyle w:val="LightShading-Accent11"/>
        <w:tblW w:w="0" w:type="auto"/>
        <w:tblLook w:val="04A0"/>
      </w:tblPr>
      <w:tblGrid>
        <w:gridCol w:w="4788"/>
        <w:gridCol w:w="4788"/>
      </w:tblGrid>
      <w:tr w:rsidR="00C91B63" w:rsidTr="00C91B63">
        <w:trPr>
          <w:cnfStyle w:val="100000000000"/>
        </w:trPr>
        <w:tc>
          <w:tcPr>
            <w:cnfStyle w:val="001000000000"/>
            <w:tcW w:w="4788" w:type="dxa"/>
          </w:tcPr>
          <w:p w:rsidR="00C91B63" w:rsidRDefault="00C91B63" w:rsidP="000F31E6">
            <w:r>
              <w:lastRenderedPageBreak/>
              <w:t>Category</w:t>
            </w:r>
          </w:p>
        </w:tc>
        <w:tc>
          <w:tcPr>
            <w:tcW w:w="4788" w:type="dxa"/>
          </w:tcPr>
          <w:p w:rsidR="00C91B63" w:rsidRDefault="00C91B63" w:rsidP="000F31E6">
            <w:pPr>
              <w:cnfStyle w:val="100000000000"/>
            </w:pPr>
            <w:r>
              <w:t>Component(s)</w:t>
            </w:r>
          </w:p>
        </w:tc>
      </w:tr>
      <w:tr w:rsidR="00C91B63" w:rsidRPr="00F2613A" w:rsidTr="00C91B63">
        <w:trPr>
          <w:cnfStyle w:val="000000100000"/>
        </w:trPr>
        <w:tc>
          <w:tcPr>
            <w:cnfStyle w:val="001000000000"/>
            <w:tcW w:w="4788" w:type="dxa"/>
          </w:tcPr>
          <w:p w:rsidR="00C91B63" w:rsidRPr="00F2613A" w:rsidRDefault="00F2613A" w:rsidP="000F31E6">
            <w:pPr>
              <w:rPr>
                <w:b w:val="0"/>
              </w:rPr>
            </w:pPr>
            <w:r w:rsidRPr="00F2613A">
              <w:rPr>
                <w:b w:val="0"/>
              </w:rPr>
              <w:t>Common HTTP Features</w:t>
            </w:r>
          </w:p>
        </w:tc>
        <w:tc>
          <w:tcPr>
            <w:tcW w:w="4788" w:type="dxa"/>
          </w:tcPr>
          <w:p w:rsidR="00C91B63" w:rsidRDefault="00626377" w:rsidP="000F31E6">
            <w:pPr>
              <w:cnfStyle w:val="000000100000"/>
            </w:pPr>
            <w:r>
              <w:t>Static Content</w:t>
            </w:r>
          </w:p>
          <w:p w:rsidR="00626377" w:rsidRDefault="00626377" w:rsidP="000F31E6">
            <w:pPr>
              <w:cnfStyle w:val="000000100000"/>
            </w:pPr>
            <w:r>
              <w:t>Default Document</w:t>
            </w:r>
          </w:p>
          <w:p w:rsidR="00626377" w:rsidRDefault="00626377" w:rsidP="000F31E6">
            <w:pPr>
              <w:cnfStyle w:val="000000100000"/>
            </w:pPr>
            <w:r>
              <w:t>Directory Browse</w:t>
            </w:r>
          </w:p>
          <w:p w:rsidR="00626377" w:rsidRDefault="00626377" w:rsidP="000F31E6">
            <w:pPr>
              <w:cnfStyle w:val="000000100000"/>
            </w:pPr>
            <w:r>
              <w:t>HTTP Errors</w:t>
            </w:r>
          </w:p>
          <w:p w:rsidR="00626377" w:rsidRPr="00F2613A" w:rsidRDefault="00626377" w:rsidP="000F31E6">
            <w:pPr>
              <w:cnfStyle w:val="000000100000"/>
            </w:pPr>
            <w:r>
              <w:t>HTTP Redirection</w:t>
            </w:r>
          </w:p>
        </w:tc>
      </w:tr>
      <w:tr w:rsidR="00C91B63" w:rsidRPr="00F2613A" w:rsidTr="00C91B63">
        <w:tc>
          <w:tcPr>
            <w:cnfStyle w:val="001000000000"/>
            <w:tcW w:w="4788" w:type="dxa"/>
          </w:tcPr>
          <w:p w:rsidR="00C91B63" w:rsidRPr="00F2613A" w:rsidRDefault="00F2613A" w:rsidP="000F31E6">
            <w:pPr>
              <w:rPr>
                <w:b w:val="0"/>
              </w:rPr>
            </w:pPr>
            <w:r>
              <w:rPr>
                <w:b w:val="0"/>
              </w:rPr>
              <w:t xml:space="preserve">Application Development </w:t>
            </w:r>
          </w:p>
        </w:tc>
        <w:tc>
          <w:tcPr>
            <w:tcW w:w="4788" w:type="dxa"/>
          </w:tcPr>
          <w:p w:rsidR="00C91B63" w:rsidRPr="00F2613A" w:rsidRDefault="00626377" w:rsidP="000F31E6">
            <w:pPr>
              <w:cnfStyle w:val="000000000000"/>
            </w:pPr>
            <w:r>
              <w:t>ASP.NET</w:t>
            </w:r>
            <w:r>
              <w:br/>
              <w:t>.NET Extensibility</w:t>
            </w:r>
          </w:p>
        </w:tc>
      </w:tr>
      <w:tr w:rsidR="00C91B63" w:rsidRPr="00F2613A" w:rsidTr="00C91B63">
        <w:trPr>
          <w:cnfStyle w:val="000000100000"/>
        </w:trPr>
        <w:tc>
          <w:tcPr>
            <w:cnfStyle w:val="001000000000"/>
            <w:tcW w:w="4788" w:type="dxa"/>
          </w:tcPr>
          <w:p w:rsidR="00C91B63" w:rsidRPr="00F2613A" w:rsidRDefault="002833D7" w:rsidP="000F31E6">
            <w:pPr>
              <w:rPr>
                <w:b w:val="0"/>
              </w:rPr>
            </w:pPr>
            <w:r>
              <w:rPr>
                <w:b w:val="0"/>
              </w:rPr>
              <w:t>Security</w:t>
            </w:r>
          </w:p>
        </w:tc>
        <w:tc>
          <w:tcPr>
            <w:tcW w:w="4788" w:type="dxa"/>
          </w:tcPr>
          <w:p w:rsidR="00C91B63" w:rsidRPr="00F2613A" w:rsidRDefault="00626377" w:rsidP="000F31E6">
            <w:pPr>
              <w:cnfStyle w:val="000000100000"/>
            </w:pPr>
            <w:r>
              <w:t>All</w:t>
            </w:r>
          </w:p>
        </w:tc>
      </w:tr>
      <w:tr w:rsidR="00C91B63" w:rsidRPr="00F2613A" w:rsidTr="00C91B63">
        <w:tc>
          <w:tcPr>
            <w:cnfStyle w:val="001000000000"/>
            <w:tcW w:w="4788" w:type="dxa"/>
          </w:tcPr>
          <w:p w:rsidR="00C91B63" w:rsidRPr="00F2613A" w:rsidRDefault="002833D7" w:rsidP="000F31E6">
            <w:pPr>
              <w:rPr>
                <w:b w:val="0"/>
              </w:rPr>
            </w:pPr>
            <w:r>
              <w:rPr>
                <w:b w:val="0"/>
              </w:rPr>
              <w:t>Performance</w:t>
            </w:r>
          </w:p>
        </w:tc>
        <w:tc>
          <w:tcPr>
            <w:tcW w:w="4788" w:type="dxa"/>
          </w:tcPr>
          <w:p w:rsidR="00C91B63" w:rsidRPr="00F2613A" w:rsidRDefault="00626377" w:rsidP="000F31E6">
            <w:pPr>
              <w:cnfStyle w:val="000000000000"/>
            </w:pPr>
            <w:r>
              <w:t>Static Content Compression</w:t>
            </w:r>
          </w:p>
        </w:tc>
      </w:tr>
      <w:tr w:rsidR="00C91B63" w:rsidRPr="00F2613A" w:rsidTr="00C91B63">
        <w:trPr>
          <w:cnfStyle w:val="000000100000"/>
        </w:trPr>
        <w:tc>
          <w:tcPr>
            <w:cnfStyle w:val="001000000000"/>
            <w:tcW w:w="4788" w:type="dxa"/>
          </w:tcPr>
          <w:p w:rsidR="00C91B63" w:rsidRPr="00F2613A" w:rsidRDefault="002833D7" w:rsidP="000F31E6">
            <w:pPr>
              <w:rPr>
                <w:b w:val="0"/>
              </w:rPr>
            </w:pPr>
            <w:r>
              <w:rPr>
                <w:b w:val="0"/>
              </w:rPr>
              <w:t>Management</w:t>
            </w:r>
          </w:p>
        </w:tc>
        <w:tc>
          <w:tcPr>
            <w:tcW w:w="4788" w:type="dxa"/>
          </w:tcPr>
          <w:p w:rsidR="00C91B63" w:rsidRPr="00F2613A" w:rsidRDefault="00626377" w:rsidP="000F31E6">
            <w:pPr>
              <w:cnfStyle w:val="000000100000"/>
            </w:pPr>
            <w:r>
              <w:t>IIS Management Console</w:t>
            </w:r>
          </w:p>
        </w:tc>
      </w:tr>
      <w:tr w:rsidR="00C91B63" w:rsidRPr="00F2613A" w:rsidTr="00C91B63">
        <w:tc>
          <w:tcPr>
            <w:cnfStyle w:val="001000000000"/>
            <w:tcW w:w="4788" w:type="dxa"/>
          </w:tcPr>
          <w:p w:rsidR="00C91B63" w:rsidRPr="00F2613A" w:rsidRDefault="002833D7" w:rsidP="000F31E6">
            <w:pPr>
              <w:rPr>
                <w:b w:val="0"/>
              </w:rPr>
            </w:pPr>
            <w:r>
              <w:rPr>
                <w:b w:val="0"/>
              </w:rPr>
              <w:t>WAS</w:t>
            </w:r>
          </w:p>
        </w:tc>
        <w:tc>
          <w:tcPr>
            <w:tcW w:w="4788" w:type="dxa"/>
          </w:tcPr>
          <w:p w:rsidR="00C91B63" w:rsidRPr="00F2613A" w:rsidRDefault="00626377" w:rsidP="000F31E6">
            <w:pPr>
              <w:cnfStyle w:val="000000000000"/>
            </w:pPr>
            <w:r>
              <w:t>All</w:t>
            </w:r>
          </w:p>
        </w:tc>
      </w:tr>
      <w:tr w:rsidR="00C91B63" w:rsidRPr="00F2613A" w:rsidTr="00C91B63">
        <w:trPr>
          <w:cnfStyle w:val="000000100000"/>
        </w:trPr>
        <w:tc>
          <w:tcPr>
            <w:cnfStyle w:val="001000000000"/>
            <w:tcW w:w="4788" w:type="dxa"/>
          </w:tcPr>
          <w:p w:rsidR="00C91B63" w:rsidRPr="00F2613A" w:rsidRDefault="002833D7" w:rsidP="000F31E6">
            <w:pPr>
              <w:rPr>
                <w:b w:val="0"/>
              </w:rPr>
            </w:pPr>
            <w:r>
              <w:rPr>
                <w:b w:val="0"/>
              </w:rPr>
              <w:t>Deployment and Publishing</w:t>
            </w:r>
          </w:p>
        </w:tc>
        <w:tc>
          <w:tcPr>
            <w:tcW w:w="4788" w:type="dxa"/>
          </w:tcPr>
          <w:p w:rsidR="00C91B63" w:rsidRPr="00F2613A" w:rsidRDefault="00626377" w:rsidP="000F31E6">
            <w:pPr>
              <w:cnfStyle w:val="000000100000"/>
            </w:pPr>
            <w:r>
              <w:t>Web Deployment Tool Beta 2</w:t>
            </w:r>
          </w:p>
        </w:tc>
      </w:tr>
      <w:tr w:rsidR="002833D7" w:rsidRPr="00F2613A" w:rsidTr="00C91B63">
        <w:tc>
          <w:tcPr>
            <w:cnfStyle w:val="001000000000"/>
            <w:tcW w:w="4788" w:type="dxa"/>
          </w:tcPr>
          <w:p w:rsidR="002833D7" w:rsidRDefault="002833D7" w:rsidP="000F31E6">
            <w:pPr>
              <w:rPr>
                <w:b w:val="0"/>
              </w:rPr>
            </w:pPr>
            <w:r>
              <w:rPr>
                <w:b w:val="0"/>
              </w:rPr>
              <w:t>.NET Framework Extensions</w:t>
            </w:r>
          </w:p>
        </w:tc>
        <w:tc>
          <w:tcPr>
            <w:tcW w:w="4788" w:type="dxa"/>
          </w:tcPr>
          <w:p w:rsidR="002833D7" w:rsidRDefault="00626377" w:rsidP="000F31E6">
            <w:pPr>
              <w:cnfStyle w:val="000000000000"/>
            </w:pPr>
            <w:r>
              <w:t>.NET Framework 3.5 Service Pack 1</w:t>
            </w:r>
          </w:p>
          <w:p w:rsidR="00626377" w:rsidRPr="00F2613A" w:rsidRDefault="00626377" w:rsidP="000F31E6">
            <w:pPr>
              <w:cnfStyle w:val="000000000000"/>
            </w:pPr>
            <w:r>
              <w:t>ASP.NET MVC Release Candidate 1</w:t>
            </w:r>
          </w:p>
        </w:tc>
      </w:tr>
      <w:tr w:rsidR="002833D7" w:rsidRPr="00F2613A" w:rsidTr="00C91B63">
        <w:trPr>
          <w:cnfStyle w:val="000000100000"/>
        </w:trPr>
        <w:tc>
          <w:tcPr>
            <w:cnfStyle w:val="001000000000"/>
            <w:tcW w:w="4788" w:type="dxa"/>
          </w:tcPr>
          <w:p w:rsidR="002833D7" w:rsidRDefault="002833D7" w:rsidP="000F31E6">
            <w:pPr>
              <w:rPr>
                <w:b w:val="0"/>
              </w:rPr>
            </w:pPr>
            <w:r>
              <w:rPr>
                <w:b w:val="0"/>
              </w:rPr>
              <w:t xml:space="preserve">SQL </w:t>
            </w:r>
          </w:p>
        </w:tc>
        <w:tc>
          <w:tcPr>
            <w:tcW w:w="4788" w:type="dxa"/>
          </w:tcPr>
          <w:p w:rsidR="002833D7" w:rsidRPr="00F2613A" w:rsidRDefault="00626377" w:rsidP="000F31E6">
            <w:pPr>
              <w:cnfStyle w:val="000000100000"/>
            </w:pPr>
            <w:r>
              <w:t>SQL Express 2008</w:t>
            </w:r>
          </w:p>
        </w:tc>
      </w:tr>
      <w:tr w:rsidR="002833D7" w:rsidRPr="00F2613A" w:rsidTr="00C91B63">
        <w:tc>
          <w:tcPr>
            <w:cnfStyle w:val="001000000000"/>
            <w:tcW w:w="4788" w:type="dxa"/>
          </w:tcPr>
          <w:p w:rsidR="002833D7" w:rsidRDefault="002833D7" w:rsidP="000F31E6">
            <w:pPr>
              <w:rPr>
                <w:b w:val="0"/>
              </w:rPr>
            </w:pPr>
            <w:r>
              <w:rPr>
                <w:b w:val="0"/>
              </w:rPr>
              <w:t>Developer Tools</w:t>
            </w:r>
          </w:p>
        </w:tc>
        <w:tc>
          <w:tcPr>
            <w:tcW w:w="4788" w:type="dxa"/>
          </w:tcPr>
          <w:p w:rsidR="002833D7" w:rsidRDefault="00626377" w:rsidP="000F31E6">
            <w:pPr>
              <w:cnfStyle w:val="000000000000"/>
            </w:pPr>
            <w:r>
              <w:t>Visual Web Developer 2008 Express with SP1</w:t>
            </w:r>
          </w:p>
          <w:p w:rsidR="00626377" w:rsidRPr="00F2613A" w:rsidRDefault="00626377" w:rsidP="000F31E6">
            <w:pPr>
              <w:cnfStyle w:val="000000000000"/>
            </w:pPr>
            <w:r>
              <w:t>SilverLight Tools for Visual Studio</w:t>
            </w:r>
          </w:p>
        </w:tc>
      </w:tr>
    </w:tbl>
    <w:p w:rsidR="002846E5" w:rsidRDefault="002846E5" w:rsidP="000F31E6"/>
    <w:p w:rsidR="006E7D8B" w:rsidRDefault="006E7D8B" w:rsidP="006E7D8B">
      <w:pPr>
        <w:pStyle w:val="Heading2"/>
      </w:pPr>
      <w:r>
        <w:t>Exploring the Planet PPT Sample Service</w:t>
      </w:r>
    </w:p>
    <w:p w:rsidR="006F37F2" w:rsidRDefault="00E6261A" w:rsidP="00E6261A">
      <w:r>
        <w:t xml:space="preserve">With the pre-requisites in place, you can open and F5 (build/run) the Kobe.sln solution (located in the </w:t>
      </w:r>
      <w:r w:rsidRPr="00E6261A">
        <w:rPr>
          <w:b/>
        </w:rPr>
        <w:t>Projects\Kobe</w:t>
      </w:r>
      <w:r>
        <w:t xml:space="preserve"> folder of the </w:t>
      </w:r>
      <w:r w:rsidR="00483D65">
        <w:t>resource</w:t>
      </w:r>
      <w:r>
        <w:t xml:space="preserve"> kit) in Visual Studio Web Developer 2008 Express or a higher edition of Visual Studio 2008 with SP1. </w:t>
      </w:r>
    </w:p>
    <w:p w:rsidR="00700D4A" w:rsidRDefault="00700D4A" w:rsidP="00E6261A">
      <w:r>
        <w:t xml:space="preserve">Watch the Planet PPT User Demo video included in the </w:t>
      </w:r>
      <w:r w:rsidR="00483D65">
        <w:t>resource</w:t>
      </w:r>
      <w:r>
        <w:t xml:space="preserve"> kit to get an overview of the user facing features of the Planet PPT service prior to exploring the service on your own. </w:t>
      </w:r>
    </w:p>
    <w:p w:rsidR="00700D4A" w:rsidRDefault="00700D4A" w:rsidP="00E6261A">
      <w:r>
        <w:t>You can log into the server using one of the following e-mai</w:t>
      </w:r>
      <w:r w:rsidR="00BF37A8">
        <w:t>l addresses as the login user</w:t>
      </w:r>
      <w:r>
        <w:t xml:space="preserve">. The password for all demo user ids is </w:t>
      </w:r>
      <w:r w:rsidRPr="00700D4A">
        <w:rPr>
          <w:b/>
        </w:rPr>
        <w:t>password</w:t>
      </w:r>
    </w:p>
    <w:p w:rsidR="00700D4A" w:rsidRDefault="00081181" w:rsidP="006F37F2">
      <w:pPr>
        <w:pBdr>
          <w:bottom w:val="single" w:sz="6" w:space="1" w:color="auto"/>
        </w:pBdr>
      </w:pPr>
      <w:r w:rsidRPr="00081181">
        <w:t>karthik@hotmail.com</w:t>
      </w:r>
    </w:p>
    <w:p w:rsidR="00081181" w:rsidRDefault="00081181" w:rsidP="006F37F2">
      <w:pPr>
        <w:pBdr>
          <w:bottom w:val="single" w:sz="6" w:space="1" w:color="auto"/>
        </w:pBdr>
      </w:pPr>
      <w:r w:rsidRPr="00081181">
        <w:t>masashi@hotmail.com</w:t>
      </w:r>
    </w:p>
    <w:p w:rsidR="00081181" w:rsidRDefault="00081181" w:rsidP="006F37F2">
      <w:pPr>
        <w:pBdr>
          <w:bottom w:val="single" w:sz="6" w:space="1" w:color="auto"/>
        </w:pBdr>
      </w:pPr>
      <w:r w:rsidRPr="00081181">
        <w:t>simon@hotmail.com</w:t>
      </w:r>
    </w:p>
    <w:p w:rsidR="00081181" w:rsidRDefault="00081181" w:rsidP="006F37F2">
      <w:pPr>
        <w:pBdr>
          <w:bottom w:val="single" w:sz="6" w:space="1" w:color="auto"/>
        </w:pBdr>
      </w:pPr>
      <w:r w:rsidRPr="00081181">
        <w:t>pankaj@hotmail.com</w:t>
      </w:r>
    </w:p>
    <w:p w:rsidR="00685AB0" w:rsidRDefault="00524EFE" w:rsidP="00685AB0">
      <w:pPr>
        <w:pBdr>
          <w:bottom w:val="single" w:sz="6" w:space="1" w:color="auto"/>
        </w:pBdr>
      </w:pPr>
      <w:r>
        <w:t xml:space="preserve">The Project Kobe </w:t>
      </w:r>
      <w:r w:rsidR="009617E4">
        <w:t xml:space="preserve">overview and </w:t>
      </w:r>
      <w:r>
        <w:t>implementation drill down white paper</w:t>
      </w:r>
      <w:r w:rsidR="009617E4">
        <w:t>s contain</w:t>
      </w:r>
      <w:r>
        <w:t xml:space="preserve"> information that will enable you to </w:t>
      </w:r>
      <w:r w:rsidR="00FE5C52">
        <w:t xml:space="preserve">explore </w:t>
      </w:r>
      <w:r>
        <w:t xml:space="preserve">and understand the design &amp; implementation of the sample service. </w:t>
      </w:r>
    </w:p>
    <w:p w:rsidR="00AB69A1" w:rsidRDefault="00AB69A1" w:rsidP="00685AB0">
      <w:pPr>
        <w:pBdr>
          <w:bottom w:val="single" w:sz="6" w:space="1" w:color="auto"/>
        </w:pBdr>
      </w:pPr>
    </w:p>
    <w:p w:rsidR="00AB69A1" w:rsidRDefault="00C24E2D" w:rsidP="00AB69A1">
      <w:pPr>
        <w:pStyle w:val="Heading2"/>
      </w:pPr>
      <w:r>
        <w:t>Advanced Deployment &amp; Configuration</w:t>
      </w:r>
    </w:p>
    <w:p w:rsidR="00AB69A1" w:rsidRDefault="00BB2007" w:rsidP="00685AB0">
      <w:pPr>
        <w:pBdr>
          <w:bottom w:val="single" w:sz="6" w:space="1" w:color="auto"/>
        </w:pBdr>
      </w:pPr>
      <w:r>
        <w:t xml:space="preserve">The packaging of the Planet PPT Sample Web 2.0 service is optimized </w:t>
      </w:r>
      <w:r w:rsidR="00AC6F47">
        <w:t>for a developer workstation</w:t>
      </w:r>
      <w:r w:rsidR="00BC179D">
        <w:t>/environment</w:t>
      </w:r>
      <w:r w:rsidR="00AC6F47">
        <w:t>. The Web Deployment Tool (</w:t>
      </w:r>
      <w:r w:rsidR="00BC179D">
        <w:t xml:space="preserve">included in and </w:t>
      </w:r>
      <w:r w:rsidR="00AC6F47">
        <w:t xml:space="preserve">installed by the Microsoft Web </w:t>
      </w:r>
      <w:r w:rsidR="00AC6F47">
        <w:lastRenderedPageBreak/>
        <w:t xml:space="preserve">Platform Installer) </w:t>
      </w:r>
      <w:r w:rsidR="00BC179D">
        <w:t xml:space="preserve">can be used to deploy services like Planet PPT in staging and production environments. The general steps to do this are included in the documentation provided for the Web Deployment Tool. </w:t>
      </w:r>
    </w:p>
    <w:p w:rsidR="00685AB0" w:rsidRDefault="00685AB0" w:rsidP="00685AB0">
      <w:pPr>
        <w:pBdr>
          <w:bottom w:val="single" w:sz="6" w:space="1" w:color="auto"/>
        </w:pBdr>
      </w:pPr>
    </w:p>
    <w:p w:rsidR="00685AB0" w:rsidRDefault="0090447B" w:rsidP="00685AB0">
      <w:pPr>
        <w:pStyle w:val="Heading2"/>
      </w:pPr>
      <w:r>
        <w:t xml:space="preserve">Feedback &amp; </w:t>
      </w:r>
      <w:r w:rsidR="00D25894">
        <w:t xml:space="preserve">Support </w:t>
      </w:r>
    </w:p>
    <w:p w:rsidR="00685AB0" w:rsidRDefault="0081274B" w:rsidP="00685AB0">
      <w:r>
        <w:t xml:space="preserve">We hope that you find the Kobe Kit to be a useful resource. </w:t>
      </w:r>
      <w:r w:rsidR="0090447B">
        <w:t xml:space="preserve">You can e-mail your comments/feedback and questions to </w:t>
      </w:r>
      <w:hyperlink r:id="rId11" w:history="1">
        <w:r w:rsidR="00E36946" w:rsidRPr="00196C32">
          <w:rPr>
            <w:rStyle w:val="Hyperlink"/>
          </w:rPr>
          <w:t>kobehelp@microsoft.com</w:t>
        </w:r>
      </w:hyperlink>
      <w:r w:rsidR="00E36946">
        <w:t>. We are committed to helping you be successful in installing and exploring the Kobe kit, and will do our be</w:t>
      </w:r>
      <w:r w:rsidR="00371757">
        <w:t>st to respond to your enquiries</w:t>
      </w:r>
      <w:r w:rsidR="00E36946">
        <w:t xml:space="preserve">. </w:t>
      </w:r>
    </w:p>
    <w:p w:rsidR="00685AB0" w:rsidRDefault="00685AB0" w:rsidP="006F37F2">
      <w:pPr>
        <w:pBdr>
          <w:bottom w:val="single" w:sz="6" w:space="1" w:color="auto"/>
        </w:pBdr>
      </w:pPr>
    </w:p>
    <w:sectPr w:rsidR="00685AB0" w:rsidSect="00B131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877CF"/>
    <w:multiLevelType w:val="hybridMultilevel"/>
    <w:tmpl w:val="0288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292F"/>
    <w:rsid w:val="000234D5"/>
    <w:rsid w:val="00023FD5"/>
    <w:rsid w:val="000252A5"/>
    <w:rsid w:val="00063CF7"/>
    <w:rsid w:val="00081181"/>
    <w:rsid w:val="000C6355"/>
    <w:rsid w:val="000D415A"/>
    <w:rsid w:val="000F2599"/>
    <w:rsid w:val="000F31E6"/>
    <w:rsid w:val="00166D3C"/>
    <w:rsid w:val="001A4493"/>
    <w:rsid w:val="001A47B9"/>
    <w:rsid w:val="00223C1F"/>
    <w:rsid w:val="00235B1B"/>
    <w:rsid w:val="00241345"/>
    <w:rsid w:val="00246D8C"/>
    <w:rsid w:val="002833D7"/>
    <w:rsid w:val="002846E5"/>
    <w:rsid w:val="00295F2C"/>
    <w:rsid w:val="002A6EE6"/>
    <w:rsid w:val="002B3D07"/>
    <w:rsid w:val="002D29A5"/>
    <w:rsid w:val="002E1532"/>
    <w:rsid w:val="00335C23"/>
    <w:rsid w:val="00347789"/>
    <w:rsid w:val="0036232B"/>
    <w:rsid w:val="00371757"/>
    <w:rsid w:val="003D21DD"/>
    <w:rsid w:val="0045466B"/>
    <w:rsid w:val="0046415B"/>
    <w:rsid w:val="0047059A"/>
    <w:rsid w:val="004810BA"/>
    <w:rsid w:val="00481A59"/>
    <w:rsid w:val="00483D65"/>
    <w:rsid w:val="004905D8"/>
    <w:rsid w:val="0049622E"/>
    <w:rsid w:val="004A7710"/>
    <w:rsid w:val="00524EFE"/>
    <w:rsid w:val="00532121"/>
    <w:rsid w:val="00550082"/>
    <w:rsid w:val="005800CB"/>
    <w:rsid w:val="00587B36"/>
    <w:rsid w:val="005E7CD8"/>
    <w:rsid w:val="00606683"/>
    <w:rsid w:val="00626377"/>
    <w:rsid w:val="006305CF"/>
    <w:rsid w:val="006557C1"/>
    <w:rsid w:val="00662A19"/>
    <w:rsid w:val="00671236"/>
    <w:rsid w:val="00685AB0"/>
    <w:rsid w:val="006C465E"/>
    <w:rsid w:val="006E7D8B"/>
    <w:rsid w:val="006F37F2"/>
    <w:rsid w:val="00700D4A"/>
    <w:rsid w:val="0070292F"/>
    <w:rsid w:val="007120E4"/>
    <w:rsid w:val="0075757A"/>
    <w:rsid w:val="0077189A"/>
    <w:rsid w:val="0078015B"/>
    <w:rsid w:val="007D3526"/>
    <w:rsid w:val="007E561B"/>
    <w:rsid w:val="007F2760"/>
    <w:rsid w:val="0081274B"/>
    <w:rsid w:val="00813049"/>
    <w:rsid w:val="00845971"/>
    <w:rsid w:val="00846089"/>
    <w:rsid w:val="008726EF"/>
    <w:rsid w:val="008A57C4"/>
    <w:rsid w:val="008E6D46"/>
    <w:rsid w:val="008F4C80"/>
    <w:rsid w:val="0090447B"/>
    <w:rsid w:val="00911C0D"/>
    <w:rsid w:val="00926E85"/>
    <w:rsid w:val="0094104B"/>
    <w:rsid w:val="00946CE3"/>
    <w:rsid w:val="00952ED1"/>
    <w:rsid w:val="009617E4"/>
    <w:rsid w:val="00A103BD"/>
    <w:rsid w:val="00A4553A"/>
    <w:rsid w:val="00A54F99"/>
    <w:rsid w:val="00A95737"/>
    <w:rsid w:val="00AB69A1"/>
    <w:rsid w:val="00AC6F47"/>
    <w:rsid w:val="00AD3778"/>
    <w:rsid w:val="00AD6CC6"/>
    <w:rsid w:val="00B06AF8"/>
    <w:rsid w:val="00B13179"/>
    <w:rsid w:val="00B70C4C"/>
    <w:rsid w:val="00B75291"/>
    <w:rsid w:val="00BB2007"/>
    <w:rsid w:val="00BB52EE"/>
    <w:rsid w:val="00BC179D"/>
    <w:rsid w:val="00BD2577"/>
    <w:rsid w:val="00BD33D4"/>
    <w:rsid w:val="00BF37A8"/>
    <w:rsid w:val="00C024EF"/>
    <w:rsid w:val="00C034A0"/>
    <w:rsid w:val="00C07F7D"/>
    <w:rsid w:val="00C24E2D"/>
    <w:rsid w:val="00C2516B"/>
    <w:rsid w:val="00C37BE9"/>
    <w:rsid w:val="00C80AE9"/>
    <w:rsid w:val="00C91B63"/>
    <w:rsid w:val="00CB3EBF"/>
    <w:rsid w:val="00CE58D8"/>
    <w:rsid w:val="00CE6A56"/>
    <w:rsid w:val="00D25894"/>
    <w:rsid w:val="00DB0CDC"/>
    <w:rsid w:val="00DC2A13"/>
    <w:rsid w:val="00DD0557"/>
    <w:rsid w:val="00E36946"/>
    <w:rsid w:val="00E42587"/>
    <w:rsid w:val="00E557E2"/>
    <w:rsid w:val="00E6261A"/>
    <w:rsid w:val="00E72179"/>
    <w:rsid w:val="00EC17A6"/>
    <w:rsid w:val="00EF6660"/>
    <w:rsid w:val="00F15199"/>
    <w:rsid w:val="00F2613A"/>
    <w:rsid w:val="00F5519C"/>
    <w:rsid w:val="00F7484C"/>
    <w:rsid w:val="00FA75A5"/>
    <w:rsid w:val="00FB3575"/>
    <w:rsid w:val="00FC2B04"/>
    <w:rsid w:val="00FC2E3E"/>
    <w:rsid w:val="00FE5C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179"/>
  </w:style>
  <w:style w:type="paragraph" w:styleId="Heading1">
    <w:name w:val="heading 1"/>
    <w:basedOn w:val="Normal"/>
    <w:next w:val="Normal"/>
    <w:link w:val="Heading1Char"/>
    <w:uiPriority w:val="9"/>
    <w:qFormat/>
    <w:rsid w:val="00532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1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1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12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024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C024E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FC2B04"/>
    <w:rPr>
      <w:color w:val="0000FF" w:themeColor="hyperlink"/>
      <w:u w:val="single"/>
    </w:rPr>
  </w:style>
  <w:style w:type="character" w:styleId="FollowedHyperlink">
    <w:name w:val="FollowedHyperlink"/>
    <w:basedOn w:val="DefaultParagraphFont"/>
    <w:uiPriority w:val="99"/>
    <w:semiHidden/>
    <w:unhideWhenUsed/>
    <w:rsid w:val="00FC2B04"/>
    <w:rPr>
      <w:color w:val="800080" w:themeColor="followedHyperlink"/>
      <w:u w:val="single"/>
    </w:rPr>
  </w:style>
  <w:style w:type="paragraph" w:styleId="BalloonText">
    <w:name w:val="Balloon Text"/>
    <w:basedOn w:val="Normal"/>
    <w:link w:val="BalloonTextChar"/>
    <w:uiPriority w:val="99"/>
    <w:semiHidden/>
    <w:unhideWhenUsed/>
    <w:rsid w:val="00FC2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B04"/>
    <w:rPr>
      <w:rFonts w:ascii="Tahoma" w:hAnsi="Tahoma" w:cs="Tahoma"/>
      <w:sz w:val="16"/>
      <w:szCs w:val="16"/>
    </w:rPr>
  </w:style>
  <w:style w:type="paragraph" w:styleId="ListParagraph">
    <w:name w:val="List Paragraph"/>
    <w:basedOn w:val="Normal"/>
    <w:uiPriority w:val="34"/>
    <w:qFormat/>
    <w:rsid w:val="00347789"/>
    <w:pPr>
      <w:ind w:left="720"/>
      <w:contextualSpacing/>
    </w:pPr>
  </w:style>
  <w:style w:type="paragraph" w:styleId="NormalWeb">
    <w:name w:val="Normal (Web)"/>
    <w:basedOn w:val="Normal"/>
    <w:uiPriority w:val="99"/>
    <w:semiHidden/>
    <w:unhideWhenUsed/>
    <w:rsid w:val="00295F2C"/>
    <w:pPr>
      <w:spacing w:after="15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6262176">
      <w:bodyDiv w:val="1"/>
      <w:marLeft w:val="0"/>
      <w:marRight w:val="0"/>
      <w:marTop w:val="0"/>
      <w:marBottom w:val="0"/>
      <w:divBdr>
        <w:top w:val="none" w:sz="0" w:space="0" w:color="auto"/>
        <w:left w:val="none" w:sz="0" w:space="0" w:color="auto"/>
        <w:bottom w:val="none" w:sz="0" w:space="0" w:color="auto"/>
        <w:right w:val="none" w:sz="0" w:space="0" w:color="auto"/>
      </w:divBdr>
      <w:divsChild>
        <w:div w:id="913391735">
          <w:marLeft w:val="0"/>
          <w:marRight w:val="0"/>
          <w:marTop w:val="0"/>
          <w:marBottom w:val="0"/>
          <w:divBdr>
            <w:top w:val="none" w:sz="0" w:space="0" w:color="auto"/>
            <w:left w:val="none" w:sz="0" w:space="0" w:color="auto"/>
            <w:bottom w:val="none" w:sz="0" w:space="0" w:color="auto"/>
            <w:right w:val="none" w:sz="0" w:space="0" w:color="auto"/>
          </w:divBdr>
          <w:divsChild>
            <w:div w:id="830944164">
              <w:marLeft w:val="-7140"/>
              <w:marRight w:val="-7140"/>
              <w:marTop w:val="0"/>
              <w:marBottom w:val="0"/>
              <w:divBdr>
                <w:top w:val="none" w:sz="0" w:space="0" w:color="auto"/>
                <w:left w:val="none" w:sz="0" w:space="0" w:color="auto"/>
                <w:bottom w:val="none" w:sz="0" w:space="0" w:color="auto"/>
                <w:right w:val="none" w:sz="0" w:space="0" w:color="auto"/>
              </w:divBdr>
              <w:divsChild>
                <w:div w:id="1493524818">
                  <w:marLeft w:val="0"/>
                  <w:marRight w:val="0"/>
                  <w:marTop w:val="0"/>
                  <w:marBottom w:val="0"/>
                  <w:divBdr>
                    <w:top w:val="single" w:sz="2" w:space="0" w:color="FFFFFF"/>
                    <w:left w:val="none" w:sz="0" w:space="0" w:color="auto"/>
                    <w:bottom w:val="none" w:sz="0" w:space="0" w:color="auto"/>
                    <w:right w:val="none" w:sz="0" w:space="0" w:color="auto"/>
                  </w:divBdr>
                  <w:divsChild>
                    <w:div w:id="2139447398">
                      <w:marLeft w:val="105"/>
                      <w:marRight w:val="105"/>
                      <w:marTop w:val="0"/>
                      <w:marBottom w:val="150"/>
                      <w:divBdr>
                        <w:top w:val="none" w:sz="0" w:space="0" w:color="auto"/>
                        <w:left w:val="none" w:sz="0" w:space="0" w:color="auto"/>
                        <w:bottom w:val="none" w:sz="0" w:space="0" w:color="auto"/>
                        <w:right w:val="none" w:sz="0" w:space="0" w:color="auto"/>
                      </w:divBdr>
                      <w:divsChild>
                        <w:div w:id="476650127">
                          <w:marLeft w:val="0"/>
                          <w:marRight w:val="0"/>
                          <w:marTop w:val="0"/>
                          <w:marBottom w:val="0"/>
                          <w:divBdr>
                            <w:top w:val="none" w:sz="0" w:space="0" w:color="auto"/>
                            <w:left w:val="none" w:sz="0" w:space="0" w:color="auto"/>
                            <w:bottom w:val="none" w:sz="0" w:space="0" w:color="auto"/>
                            <w:right w:val="none" w:sz="0" w:space="0" w:color="auto"/>
                          </w:divBdr>
                          <w:divsChild>
                            <w:div w:id="8071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0233">
      <w:bodyDiv w:val="1"/>
      <w:marLeft w:val="0"/>
      <w:marRight w:val="0"/>
      <w:marTop w:val="0"/>
      <w:marBottom w:val="0"/>
      <w:divBdr>
        <w:top w:val="none" w:sz="0" w:space="0" w:color="auto"/>
        <w:left w:val="none" w:sz="0" w:space="0" w:color="auto"/>
        <w:bottom w:val="none" w:sz="0" w:space="0" w:color="auto"/>
        <w:right w:val="none" w:sz="0" w:space="0" w:color="auto"/>
      </w:divBdr>
      <w:divsChild>
        <w:div w:id="709304141">
          <w:marLeft w:val="0"/>
          <w:marRight w:val="0"/>
          <w:marTop w:val="0"/>
          <w:marBottom w:val="0"/>
          <w:divBdr>
            <w:top w:val="none" w:sz="0" w:space="0" w:color="auto"/>
            <w:left w:val="none" w:sz="0" w:space="0" w:color="auto"/>
            <w:bottom w:val="none" w:sz="0" w:space="0" w:color="auto"/>
            <w:right w:val="none" w:sz="0" w:space="0" w:color="auto"/>
          </w:divBdr>
          <w:divsChild>
            <w:div w:id="2101217829">
              <w:marLeft w:val="-7140"/>
              <w:marRight w:val="-7140"/>
              <w:marTop w:val="0"/>
              <w:marBottom w:val="0"/>
              <w:divBdr>
                <w:top w:val="none" w:sz="0" w:space="0" w:color="auto"/>
                <w:left w:val="none" w:sz="0" w:space="0" w:color="auto"/>
                <w:bottom w:val="none" w:sz="0" w:space="0" w:color="auto"/>
                <w:right w:val="none" w:sz="0" w:space="0" w:color="auto"/>
              </w:divBdr>
              <w:divsChild>
                <w:div w:id="300309784">
                  <w:marLeft w:val="0"/>
                  <w:marRight w:val="0"/>
                  <w:marTop w:val="0"/>
                  <w:marBottom w:val="0"/>
                  <w:divBdr>
                    <w:top w:val="single" w:sz="2" w:space="0" w:color="FFFFFF"/>
                    <w:left w:val="none" w:sz="0" w:space="0" w:color="auto"/>
                    <w:bottom w:val="none" w:sz="0" w:space="0" w:color="auto"/>
                    <w:right w:val="none" w:sz="0" w:space="0" w:color="auto"/>
                  </w:divBdr>
                  <w:divsChild>
                    <w:div w:id="1222667479">
                      <w:marLeft w:val="105"/>
                      <w:marRight w:val="105"/>
                      <w:marTop w:val="0"/>
                      <w:marBottom w:val="150"/>
                      <w:divBdr>
                        <w:top w:val="none" w:sz="0" w:space="0" w:color="auto"/>
                        <w:left w:val="none" w:sz="0" w:space="0" w:color="auto"/>
                        <w:bottom w:val="none" w:sz="0" w:space="0" w:color="auto"/>
                        <w:right w:val="none" w:sz="0" w:space="0" w:color="auto"/>
                      </w:divBdr>
                      <w:divsChild>
                        <w:div w:id="1315640123">
                          <w:marLeft w:val="0"/>
                          <w:marRight w:val="0"/>
                          <w:marTop w:val="0"/>
                          <w:marBottom w:val="0"/>
                          <w:divBdr>
                            <w:top w:val="none" w:sz="0" w:space="0" w:color="auto"/>
                            <w:left w:val="none" w:sz="0" w:space="0" w:color="auto"/>
                            <w:bottom w:val="none" w:sz="0" w:space="0" w:color="auto"/>
                            <w:right w:val="none" w:sz="0" w:space="0" w:color="auto"/>
                          </w:divBdr>
                          <w:divsChild>
                            <w:div w:id="848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dnworking.redmond.corp.microsoft.com/en-us/architecture/bb194897.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behelp@microsoft.com" TargetMode="External"/><Relationship Id="rId5" Type="http://schemas.openxmlformats.org/officeDocument/2006/relationships/styles" Target="styles.xml"/><Relationship Id="rId10" Type="http://schemas.openxmlformats.org/officeDocument/2006/relationships/hyperlink" Target="http://www.microsoft.com/web/channel/products/WebPlatformInstaller.aspx" TargetMode="External"/><Relationship Id="rId4" Type="http://schemas.openxmlformats.org/officeDocument/2006/relationships/numbering" Target="numbering.xml"/><Relationship Id="rId9" Type="http://schemas.openxmlformats.org/officeDocument/2006/relationships/hyperlink" Target="http://msdnworking.redmond.corp.microsoft.com/en-us/architecture/bb19489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EA3D4467E824081D7958313B97DB8" ma:contentTypeVersion="0" ma:contentTypeDescription="Create a new document." ma:contentTypeScope="" ma:versionID="8ef5d72d142b18594e8e9d8cb26909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46E8B-C585-4A2B-943A-9B1E0E9F9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F0AF23F-26AE-422C-8F71-B1A7FE74A4A1}">
  <ds:schemaRefs>
    <ds:schemaRef ds:uri="http://schemas.microsoft.com/office/2006/metadata/properties"/>
  </ds:schemaRefs>
</ds:datastoreItem>
</file>

<file path=customXml/itemProps3.xml><?xml version="1.0" encoding="utf-8"?>
<ds:datastoreItem xmlns:ds="http://schemas.openxmlformats.org/officeDocument/2006/customXml" ds:itemID="{5FB55E7E-2FA6-4732-BA64-9AB97E9C8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 Ravindran</dc:creator>
  <cp:lastModifiedBy>Karthik Ravindran</cp:lastModifiedBy>
  <cp:revision>4</cp:revision>
  <dcterms:created xsi:type="dcterms:W3CDTF">2009-03-02T21:31:00Z</dcterms:created>
  <dcterms:modified xsi:type="dcterms:W3CDTF">2009-03-10T23:35:00Z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0x01010033CEA3D4467E824081D7958313B97DB8</vt:lpwstr>
  </property>
</Properties>
</file>