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6E5" w:rsidRPr="004445EA" w:rsidRDefault="00635333" w:rsidP="00EB26E5">
      <w:pPr>
        <w:pStyle w:val="Heading1"/>
        <w:spacing w:before="0"/>
        <w:rPr>
          <w:szCs w:val="36"/>
        </w:rPr>
      </w:pPr>
      <w:bookmarkStart w:id="0" w:name="_Toc228857406"/>
      <w:r>
        <w:rPr>
          <w:noProof/>
          <w:szCs w:val="36"/>
          <w:lang w:eastAsia="zh-TW"/>
        </w:rPr>
        <w:pict>
          <v:shapetype id="_x0000_t202" coordsize="21600,21600" o:spt="202" path="m,l,21600r21600,l21600,xe">
            <v:stroke joinstyle="miter"/>
            <v:path gradientshapeok="t" o:connecttype="rect"/>
          </v:shapetype>
          <v:shape id="_x0000_s1026" type="#_x0000_t202" style="position:absolute;margin-left:140.1pt;margin-top:-78.3pt;width:386.05pt;height:31.6pt;z-index:251660288;mso-height-percent:200;mso-height-percent:200;mso-width-relative:margin;mso-height-relative:margin" filled="f" stroked="f">
            <v:textbox style="mso-fit-shape-to-text:t">
              <w:txbxContent>
                <w:p w:rsidR="0024781D" w:rsidRPr="00222349" w:rsidRDefault="0024781D" w:rsidP="0024781D">
                  <w:pPr>
                    <w:spacing w:before="0" w:after="0"/>
                    <w:rPr>
                      <w:color w:val="FFFFFF" w:themeColor="background1"/>
                      <w:sz w:val="40"/>
                    </w:rPr>
                  </w:pPr>
                  <w:r w:rsidRPr="00222349">
                    <w:rPr>
                      <w:color w:val="FFFFFF" w:themeColor="background1"/>
                      <w:sz w:val="40"/>
                    </w:rPr>
                    <w:t xml:space="preserve">Volume Licensing Quick Reference Guide </w:t>
                  </w:r>
                </w:p>
              </w:txbxContent>
            </v:textbox>
          </v:shape>
        </w:pict>
      </w:r>
      <w:r w:rsidR="00A132E6" w:rsidRPr="00A132E6">
        <w:rPr>
          <w:szCs w:val="36"/>
        </w:rPr>
        <w:t>Windows</w:t>
      </w:r>
      <w:r w:rsidR="00C0248E">
        <w:rPr>
          <w:szCs w:val="36"/>
        </w:rPr>
        <w:t>®</w:t>
      </w:r>
      <w:r w:rsidR="00A132E6" w:rsidRPr="00A132E6">
        <w:rPr>
          <w:szCs w:val="36"/>
        </w:rPr>
        <w:t xml:space="preserve"> 7 and </w:t>
      </w:r>
      <w:r w:rsidR="00593476">
        <w:rPr>
          <w:szCs w:val="36"/>
        </w:rPr>
        <w:t xml:space="preserve">the </w:t>
      </w:r>
      <w:r w:rsidR="00A132E6" w:rsidRPr="00A132E6">
        <w:rPr>
          <w:szCs w:val="36"/>
        </w:rPr>
        <w:t>Optimized Desktop</w:t>
      </w:r>
    </w:p>
    <w:p w:rsidR="00712BD2" w:rsidRDefault="0036552B" w:rsidP="0036552B">
      <w:pPr>
        <w:rPr>
          <w:kern w:val="32"/>
          <w:sz w:val="20"/>
          <w:szCs w:val="20"/>
        </w:rPr>
      </w:pPr>
      <w:r w:rsidRPr="00EB26E5">
        <w:rPr>
          <w:kern w:val="32"/>
          <w:sz w:val="20"/>
          <w:szCs w:val="20"/>
        </w:rPr>
        <w:t xml:space="preserve">Microsoft® Volume Licensing solutions provide the most flexible, cost effective way to give your organization access to the latest Windows desktop technologies. </w:t>
      </w:r>
      <w:r w:rsidR="00126641">
        <w:rPr>
          <w:kern w:val="32"/>
          <w:sz w:val="20"/>
          <w:szCs w:val="20"/>
        </w:rPr>
        <w:t>Windows 7 licensing has been refined and builds on existing Windows licensing.</w:t>
      </w:r>
      <w:r w:rsidR="00126641" w:rsidRPr="00EB26E5">
        <w:rPr>
          <w:kern w:val="32"/>
          <w:sz w:val="20"/>
          <w:szCs w:val="20"/>
        </w:rPr>
        <w:t xml:space="preserve"> </w:t>
      </w:r>
      <w:r w:rsidRPr="00EB26E5">
        <w:rPr>
          <w:kern w:val="32"/>
          <w:sz w:val="20"/>
          <w:szCs w:val="20"/>
        </w:rPr>
        <w:t xml:space="preserve">Whether your business wants to upgrade to Windows 7, have access to advanced technologies </w:t>
      </w:r>
      <w:r w:rsidR="00751910">
        <w:rPr>
          <w:kern w:val="32"/>
          <w:sz w:val="20"/>
          <w:szCs w:val="20"/>
        </w:rPr>
        <w:t>such as</w:t>
      </w:r>
      <w:r w:rsidR="00712BD2" w:rsidRPr="00EB26E5">
        <w:rPr>
          <w:kern w:val="32"/>
          <w:sz w:val="20"/>
          <w:szCs w:val="20"/>
        </w:rPr>
        <w:t xml:space="preserve"> </w:t>
      </w:r>
      <w:r w:rsidRPr="00EB26E5">
        <w:rPr>
          <w:kern w:val="32"/>
          <w:sz w:val="20"/>
          <w:szCs w:val="20"/>
        </w:rPr>
        <w:t xml:space="preserve">Windows 7 Enterprise and the Microsoft Desktop Optimization Pack, or deploy emerging virtualization scenarios, there is a Volume Licensing </w:t>
      </w:r>
      <w:r w:rsidR="00126641">
        <w:rPr>
          <w:kern w:val="32"/>
          <w:sz w:val="20"/>
          <w:szCs w:val="20"/>
        </w:rPr>
        <w:t>agreement</w:t>
      </w:r>
      <w:r w:rsidRPr="00EB26E5">
        <w:rPr>
          <w:kern w:val="32"/>
          <w:sz w:val="20"/>
          <w:szCs w:val="20"/>
        </w:rPr>
        <w:t xml:space="preserve"> that is right for your organization.</w:t>
      </w:r>
      <w:r w:rsidR="00280B59" w:rsidRPr="00EB26E5">
        <w:rPr>
          <w:kern w:val="32"/>
          <w:sz w:val="20"/>
          <w:szCs w:val="20"/>
        </w:rPr>
        <w:t xml:space="preserve"> </w:t>
      </w:r>
    </w:p>
    <w:p w:rsidR="0036552B" w:rsidRPr="00EB26E5" w:rsidRDefault="008521A5" w:rsidP="0036552B">
      <w:pPr>
        <w:rPr>
          <w:kern w:val="32"/>
          <w:sz w:val="20"/>
          <w:szCs w:val="20"/>
        </w:rPr>
      </w:pPr>
      <w:r>
        <w:rPr>
          <w:kern w:val="32"/>
          <w:sz w:val="20"/>
          <w:szCs w:val="20"/>
        </w:rPr>
        <w:t>Contact your</w:t>
      </w:r>
      <w:r w:rsidR="00280B59" w:rsidRPr="00EB26E5">
        <w:rPr>
          <w:kern w:val="32"/>
          <w:sz w:val="20"/>
          <w:szCs w:val="20"/>
        </w:rPr>
        <w:t xml:space="preserve"> Microsoft </w:t>
      </w:r>
      <w:r w:rsidR="004445EA">
        <w:rPr>
          <w:kern w:val="32"/>
          <w:sz w:val="20"/>
          <w:szCs w:val="20"/>
        </w:rPr>
        <w:t xml:space="preserve">Volume Licensing </w:t>
      </w:r>
      <w:r w:rsidR="00280B59" w:rsidRPr="00EB26E5">
        <w:rPr>
          <w:kern w:val="32"/>
          <w:sz w:val="20"/>
          <w:szCs w:val="20"/>
        </w:rPr>
        <w:t xml:space="preserve">reseller </w:t>
      </w:r>
      <w:r>
        <w:rPr>
          <w:kern w:val="32"/>
          <w:sz w:val="20"/>
          <w:szCs w:val="20"/>
        </w:rPr>
        <w:t xml:space="preserve">partner to learn more about how to buy Windows 7 </w:t>
      </w:r>
      <w:r w:rsidR="00126641">
        <w:rPr>
          <w:kern w:val="32"/>
          <w:sz w:val="20"/>
          <w:szCs w:val="20"/>
        </w:rPr>
        <w:t>licenses for your business</w:t>
      </w:r>
      <w:r>
        <w:rPr>
          <w:kern w:val="32"/>
          <w:sz w:val="20"/>
          <w:szCs w:val="20"/>
        </w:rPr>
        <w:t>.</w:t>
      </w:r>
    </w:p>
    <w:bookmarkEnd w:id="0"/>
    <w:p w:rsidR="00CC124D" w:rsidRPr="00FF308D" w:rsidRDefault="0036552B" w:rsidP="001515CD">
      <w:pPr>
        <w:pStyle w:val="Heading2"/>
        <w:spacing w:after="0"/>
      </w:pPr>
      <w:r w:rsidRPr="0036552B">
        <w:t xml:space="preserve">Available Volume Licensing </w:t>
      </w:r>
      <w:r w:rsidR="008521A5">
        <w:t>Products</w:t>
      </w:r>
      <w:r w:rsidR="00751910">
        <w:t xml:space="preserve"> for Windows</w:t>
      </w:r>
    </w:p>
    <w:tbl>
      <w:tblPr>
        <w:tblStyle w:val="DarkList-Accent11"/>
        <w:tblW w:w="0" w:type="auto"/>
        <w:tblBorders>
          <w:insideH w:val="single" w:sz="4" w:space="0" w:color="FFFFFF"/>
          <w:insideV w:val="single" w:sz="4" w:space="0" w:color="FFFFFF"/>
        </w:tblBorders>
        <w:tblLayout w:type="fixed"/>
        <w:tblCellMar>
          <w:top w:w="100" w:type="dxa"/>
          <w:bottom w:w="100" w:type="dxa"/>
        </w:tblCellMar>
        <w:tblLook w:val="0480"/>
      </w:tblPr>
      <w:tblGrid>
        <w:gridCol w:w="2268"/>
        <w:gridCol w:w="7308"/>
      </w:tblGrid>
      <w:tr w:rsidR="0036552B" w:rsidRPr="0036552B" w:rsidTr="00602C9F">
        <w:trPr>
          <w:cnfStyle w:val="000000100000"/>
          <w:trHeight w:val="445"/>
        </w:trPr>
        <w:tc>
          <w:tcPr>
            <w:cnfStyle w:val="001000000000"/>
            <w:tcW w:w="2268" w:type="dxa"/>
            <w:tcBorders>
              <w:top w:val="single" w:sz="4" w:space="0" w:color="88BC58" w:themeColor="accent3"/>
              <w:left w:val="none" w:sz="0" w:space="0" w:color="auto"/>
              <w:bottom w:val="none" w:sz="0" w:space="0" w:color="auto"/>
              <w:right w:val="none" w:sz="0" w:space="0" w:color="auto"/>
            </w:tcBorders>
            <w:shd w:val="clear" w:color="auto" w:fill="88BC58" w:themeFill="accent3"/>
            <w:vAlign w:val="center"/>
          </w:tcPr>
          <w:p w:rsidR="0036552B" w:rsidRPr="0036552B" w:rsidRDefault="0036552B" w:rsidP="001515CD">
            <w:pPr>
              <w:spacing w:before="0" w:after="0"/>
              <w:rPr>
                <w:rFonts w:ascii="Calibri" w:hAnsi="Calibri" w:cs="Arial"/>
                <w:szCs w:val="18"/>
              </w:rPr>
            </w:pPr>
            <w:r w:rsidRPr="0036552B">
              <w:rPr>
                <w:rFonts w:ascii="Calibri" w:hAnsi="Calibri" w:cs="Arial"/>
                <w:noProof/>
                <w:szCs w:val="18"/>
              </w:rPr>
              <w:drawing>
                <wp:inline distT="0" distB="0" distL="0" distR="0">
                  <wp:extent cx="1070610" cy="305124"/>
                  <wp:effectExtent l="19050" t="0" r="0" b="0"/>
                  <wp:docPr id="16" name="Picture 11" descr="V:\Design IN-OUT\Windows 7 guidance doc\windows 7 professional\Logos and Logotypes\Horizontal\Windows7-Pro_h_rgb_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Design IN-OUT\Windows 7 guidance doc\windows 7 professional\Logos and Logotypes\Horizontal\Windows7-Pro_h_rgb_r.png"/>
                          <pic:cNvPicPr>
                            <a:picLocks noChangeAspect="1" noChangeArrowheads="1"/>
                          </pic:cNvPicPr>
                        </pic:nvPicPr>
                        <pic:blipFill>
                          <a:blip r:embed="rId10" cstate="print"/>
                          <a:srcRect/>
                          <a:stretch>
                            <a:fillRect/>
                          </a:stretch>
                        </pic:blipFill>
                        <pic:spPr bwMode="auto">
                          <a:xfrm>
                            <a:off x="0" y="0"/>
                            <a:ext cx="1067406" cy="304211"/>
                          </a:xfrm>
                          <a:prstGeom prst="rect">
                            <a:avLst/>
                          </a:prstGeom>
                          <a:noFill/>
                          <a:ln w="9525">
                            <a:noFill/>
                            <a:miter lim="800000"/>
                            <a:headEnd/>
                            <a:tailEnd/>
                          </a:ln>
                        </pic:spPr>
                      </pic:pic>
                    </a:graphicData>
                  </a:graphic>
                </wp:inline>
              </w:drawing>
            </w:r>
          </w:p>
        </w:tc>
        <w:tc>
          <w:tcPr>
            <w:tcW w:w="7308" w:type="dxa"/>
            <w:tcBorders>
              <w:top w:val="single" w:sz="4" w:space="0" w:color="88BC58" w:themeColor="accent3"/>
              <w:left w:val="none" w:sz="0" w:space="0" w:color="auto"/>
              <w:bottom w:val="single" w:sz="4" w:space="0" w:color="88BC58" w:themeColor="accent3"/>
              <w:right w:val="none" w:sz="0" w:space="0" w:color="auto"/>
            </w:tcBorders>
            <w:shd w:val="clear" w:color="auto" w:fill="FFFFFF" w:themeFill="background1"/>
            <w:vAlign w:val="center"/>
          </w:tcPr>
          <w:p w:rsidR="0036552B" w:rsidRPr="0036552B" w:rsidRDefault="0036552B" w:rsidP="00280B59">
            <w:pPr>
              <w:spacing w:before="0" w:after="0"/>
              <w:cnfStyle w:val="000000100000"/>
              <w:rPr>
                <w:rFonts w:ascii="Calibri" w:hAnsi="Calibri" w:cs="Arial"/>
                <w:color w:val="000000" w:themeColor="text1"/>
                <w:szCs w:val="18"/>
              </w:rPr>
            </w:pPr>
            <w:r w:rsidRPr="0036552B">
              <w:rPr>
                <w:rFonts w:ascii="Calibri" w:hAnsi="Calibri" w:cs="Arial"/>
                <w:color w:val="000000" w:themeColor="text1"/>
                <w:szCs w:val="18"/>
              </w:rPr>
              <w:t>Designed for small and mid-sized organizations, Windows 7 Professional runs on PCs that meet the recommended hardware requirements of Windows Vista Business, and provides a reliable experience, helps you get more done, and helps safeguard your work. It is available as an upgrade license through Volume Licensing.</w:t>
            </w:r>
          </w:p>
        </w:tc>
      </w:tr>
      <w:tr w:rsidR="0036552B" w:rsidRPr="0036552B" w:rsidTr="00602C9F">
        <w:trPr>
          <w:trHeight w:val="112"/>
        </w:trPr>
        <w:tc>
          <w:tcPr>
            <w:cnfStyle w:val="001000000000"/>
            <w:tcW w:w="2268" w:type="dxa"/>
            <w:shd w:val="clear" w:color="auto" w:fill="88BC58" w:themeFill="accent3"/>
            <w:vAlign w:val="center"/>
          </w:tcPr>
          <w:p w:rsidR="0036552B" w:rsidRPr="0036552B" w:rsidRDefault="0036552B" w:rsidP="00280B59">
            <w:pPr>
              <w:spacing w:before="0" w:after="0"/>
              <w:rPr>
                <w:rFonts w:ascii="Calibri" w:hAnsi="Calibri" w:cs="Arial"/>
                <w:szCs w:val="18"/>
              </w:rPr>
            </w:pPr>
            <w:r w:rsidRPr="0036552B">
              <w:rPr>
                <w:rFonts w:ascii="Calibri" w:hAnsi="Calibri" w:cs="Arial"/>
                <w:noProof/>
                <w:szCs w:val="18"/>
              </w:rPr>
              <w:drawing>
                <wp:inline distT="0" distB="0" distL="0" distR="0">
                  <wp:extent cx="1062990" cy="334842"/>
                  <wp:effectExtent l="19050" t="0" r="3810" b="0"/>
                  <wp:docPr id="17" name="Picture 9" descr="V:\Designer Resources\MS Resources\Colors and Logos\Logos\All Things WINDOWS\Win7 Logo\Windows 7 Enterprise\Windows7-Enterprise_h_rgb_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Designer Resources\MS Resources\Colors and Logos\Logos\All Things WINDOWS\Win7 Logo\Windows 7 Enterprise\Windows7-Enterprise_h_rgb_r.png"/>
                          <pic:cNvPicPr>
                            <a:picLocks noChangeAspect="1" noChangeArrowheads="1"/>
                          </pic:cNvPicPr>
                        </pic:nvPicPr>
                        <pic:blipFill>
                          <a:blip r:embed="rId11" cstate="print"/>
                          <a:srcRect/>
                          <a:stretch>
                            <a:fillRect/>
                          </a:stretch>
                        </pic:blipFill>
                        <pic:spPr bwMode="auto">
                          <a:xfrm>
                            <a:off x="0" y="0"/>
                            <a:ext cx="1062268" cy="334615"/>
                          </a:xfrm>
                          <a:prstGeom prst="rect">
                            <a:avLst/>
                          </a:prstGeom>
                          <a:noFill/>
                          <a:ln w="9525">
                            <a:noFill/>
                            <a:miter lim="800000"/>
                            <a:headEnd/>
                            <a:tailEnd/>
                          </a:ln>
                        </pic:spPr>
                      </pic:pic>
                    </a:graphicData>
                  </a:graphic>
                </wp:inline>
              </w:drawing>
            </w:r>
          </w:p>
        </w:tc>
        <w:tc>
          <w:tcPr>
            <w:tcW w:w="7308" w:type="dxa"/>
            <w:tcBorders>
              <w:top w:val="single" w:sz="4" w:space="0" w:color="88BC58" w:themeColor="accent3"/>
              <w:bottom w:val="single" w:sz="4" w:space="0" w:color="88BC58" w:themeColor="accent3"/>
            </w:tcBorders>
            <w:shd w:val="clear" w:color="auto" w:fill="FFFFFF" w:themeFill="background1"/>
            <w:vAlign w:val="center"/>
          </w:tcPr>
          <w:p w:rsidR="0036552B" w:rsidRPr="0036552B" w:rsidRDefault="0036552B" w:rsidP="00280B59">
            <w:pPr>
              <w:spacing w:before="0" w:after="0"/>
              <w:cnfStyle w:val="000000000000"/>
              <w:rPr>
                <w:rFonts w:ascii="Calibri" w:hAnsi="Calibri" w:cs="Arial"/>
                <w:color w:val="000000" w:themeColor="text1"/>
                <w:szCs w:val="18"/>
              </w:rPr>
            </w:pPr>
            <w:r w:rsidRPr="0036552B">
              <w:rPr>
                <w:rFonts w:ascii="Calibri" w:hAnsi="Calibri" w:cs="Arial"/>
                <w:color w:val="000000" w:themeColor="text1"/>
                <w:szCs w:val="18"/>
              </w:rPr>
              <w:t>Designed for enterprises and businesses that want to optimize their desktop IT infrastructure, Windows 7 Enterprise will help make users productive anywhere, enhance security and control, and streamline PC management. It is available with Software Assurance for Windows.</w:t>
            </w:r>
          </w:p>
        </w:tc>
      </w:tr>
      <w:tr w:rsidR="0036552B" w:rsidRPr="0036552B" w:rsidTr="00602C9F">
        <w:trPr>
          <w:cnfStyle w:val="000000100000"/>
          <w:trHeight w:val="256"/>
        </w:trPr>
        <w:tc>
          <w:tcPr>
            <w:cnfStyle w:val="001000000000"/>
            <w:tcW w:w="2268" w:type="dxa"/>
            <w:tcBorders>
              <w:top w:val="none" w:sz="0" w:space="0" w:color="auto"/>
              <w:left w:val="none" w:sz="0" w:space="0" w:color="auto"/>
              <w:bottom w:val="none" w:sz="0" w:space="0" w:color="auto"/>
              <w:right w:val="none" w:sz="0" w:space="0" w:color="auto"/>
            </w:tcBorders>
            <w:shd w:val="clear" w:color="auto" w:fill="88BC58" w:themeFill="accent3"/>
            <w:vAlign w:val="center"/>
          </w:tcPr>
          <w:p w:rsidR="0036552B" w:rsidRPr="0036552B" w:rsidRDefault="0036552B" w:rsidP="00280B59">
            <w:pPr>
              <w:spacing w:before="0" w:after="0"/>
              <w:rPr>
                <w:rFonts w:ascii="Calibri" w:hAnsi="Calibri" w:cs="Arial"/>
                <w:szCs w:val="18"/>
              </w:rPr>
            </w:pPr>
            <w:r w:rsidRPr="0036552B">
              <w:rPr>
                <w:rFonts w:ascii="Calibri" w:hAnsi="Calibri" w:cs="Arial"/>
                <w:noProof/>
                <w:szCs w:val="18"/>
              </w:rPr>
              <w:drawing>
                <wp:inline distT="0" distB="0" distL="0" distR="0">
                  <wp:extent cx="1169670" cy="195945"/>
                  <wp:effectExtent l="19050" t="0" r="0" b="0"/>
                  <wp:docPr id="18" name="Picture 3" descr="DTP-OptPack-SA_bL_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P-OptPack-SA_bL_r.png"/>
                          <pic:cNvPicPr/>
                        </pic:nvPicPr>
                        <pic:blipFill>
                          <a:blip r:embed="rId12" cstate="print"/>
                          <a:stretch>
                            <a:fillRect/>
                          </a:stretch>
                        </pic:blipFill>
                        <pic:spPr>
                          <a:xfrm>
                            <a:off x="0" y="0"/>
                            <a:ext cx="1213383" cy="203268"/>
                          </a:xfrm>
                          <a:prstGeom prst="rect">
                            <a:avLst/>
                          </a:prstGeom>
                        </pic:spPr>
                      </pic:pic>
                    </a:graphicData>
                  </a:graphic>
                </wp:inline>
              </w:drawing>
            </w:r>
          </w:p>
        </w:tc>
        <w:tc>
          <w:tcPr>
            <w:tcW w:w="7308" w:type="dxa"/>
            <w:tcBorders>
              <w:top w:val="single" w:sz="4" w:space="0" w:color="88BC58" w:themeColor="accent3"/>
              <w:left w:val="none" w:sz="0" w:space="0" w:color="auto"/>
              <w:bottom w:val="single" w:sz="4" w:space="0" w:color="88BC58" w:themeColor="accent3"/>
              <w:right w:val="none" w:sz="0" w:space="0" w:color="auto"/>
            </w:tcBorders>
            <w:shd w:val="clear" w:color="auto" w:fill="FFFFFF" w:themeFill="background1"/>
            <w:vAlign w:val="center"/>
          </w:tcPr>
          <w:p w:rsidR="0036552B" w:rsidRPr="0036552B" w:rsidRDefault="0036552B" w:rsidP="00280B59">
            <w:pPr>
              <w:spacing w:before="0" w:after="0"/>
              <w:cnfStyle w:val="000000100000"/>
              <w:rPr>
                <w:rFonts w:ascii="Calibri" w:hAnsi="Calibri" w:cs="Arial"/>
                <w:color w:val="000000" w:themeColor="text1"/>
                <w:szCs w:val="18"/>
              </w:rPr>
            </w:pPr>
            <w:r w:rsidRPr="0036552B">
              <w:rPr>
                <w:rFonts w:ascii="Calibri" w:hAnsi="Calibri" w:cs="Arial"/>
                <w:color w:val="000000" w:themeColor="text1"/>
                <w:szCs w:val="18"/>
              </w:rPr>
              <w:t>Microsoft Desktop Optimization Pack (MDOP) is a suit</w:t>
            </w:r>
            <w:r w:rsidR="00242B8A">
              <w:rPr>
                <w:rFonts w:ascii="Calibri" w:hAnsi="Calibri" w:cs="Arial"/>
                <w:color w:val="000000" w:themeColor="text1"/>
                <w:szCs w:val="18"/>
              </w:rPr>
              <w:t xml:space="preserve">e of six client virtualization, </w:t>
            </w:r>
            <w:r w:rsidRPr="0036552B">
              <w:rPr>
                <w:rFonts w:ascii="Calibri" w:hAnsi="Calibri" w:cs="Arial"/>
                <w:color w:val="000000" w:themeColor="text1"/>
                <w:szCs w:val="18"/>
              </w:rPr>
              <w:t>management, and deployment technologies that help reduce the total cost of ownership, increase desktop manageability, and improve overall infrastructure satisfaction. Available as a subscription to Software Assurance customers.</w:t>
            </w:r>
          </w:p>
        </w:tc>
      </w:tr>
      <w:tr w:rsidR="0036552B" w:rsidRPr="0036552B" w:rsidTr="00602C9F">
        <w:trPr>
          <w:trHeight w:val="193"/>
        </w:trPr>
        <w:tc>
          <w:tcPr>
            <w:cnfStyle w:val="001000000000"/>
            <w:tcW w:w="2268" w:type="dxa"/>
            <w:tcBorders>
              <w:bottom w:val="single" w:sz="4" w:space="0" w:color="88BC58" w:themeColor="accent3"/>
            </w:tcBorders>
            <w:shd w:val="clear" w:color="auto" w:fill="88BC58" w:themeFill="accent3"/>
            <w:vAlign w:val="center"/>
          </w:tcPr>
          <w:p w:rsidR="0036552B" w:rsidRPr="0036552B" w:rsidRDefault="0036552B" w:rsidP="00280B59">
            <w:pPr>
              <w:spacing w:before="0" w:after="0"/>
              <w:rPr>
                <w:rFonts w:ascii="Calibri" w:hAnsi="Calibri" w:cs="Arial"/>
                <w:szCs w:val="18"/>
              </w:rPr>
            </w:pPr>
            <w:r w:rsidRPr="0036552B">
              <w:rPr>
                <w:rFonts w:ascii="Calibri" w:hAnsi="Calibri" w:cs="Arial"/>
                <w:noProof/>
                <w:szCs w:val="18"/>
              </w:rPr>
              <w:drawing>
                <wp:inline distT="0" distB="0" distL="0" distR="0">
                  <wp:extent cx="1051560" cy="373607"/>
                  <wp:effectExtent l="19050" t="0" r="0" b="0"/>
                  <wp:docPr id="19" name="Picture 20" descr="V:\Designer Resources\MS Resources\Colors and Logos\Logos\All Things WINDOWS\Windows Virtual Enterprise Centralized Desktop\Logos and logotypes\Horizontal\online-rgb\reverse\Win-VECD_h_rgb_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Designer Resources\MS Resources\Colors and Logos\Logos\All Things WINDOWS\Windows Virtual Enterprise Centralized Desktop\Logos and logotypes\Horizontal\online-rgb\reverse\Win-VECD_h_rgb_r.png"/>
                          <pic:cNvPicPr>
                            <a:picLocks noChangeAspect="1" noChangeArrowheads="1"/>
                          </pic:cNvPicPr>
                        </pic:nvPicPr>
                        <pic:blipFill>
                          <a:blip r:embed="rId13" cstate="print"/>
                          <a:srcRect/>
                          <a:stretch>
                            <a:fillRect/>
                          </a:stretch>
                        </pic:blipFill>
                        <pic:spPr bwMode="auto">
                          <a:xfrm>
                            <a:off x="0" y="0"/>
                            <a:ext cx="1062387" cy="377454"/>
                          </a:xfrm>
                          <a:prstGeom prst="rect">
                            <a:avLst/>
                          </a:prstGeom>
                          <a:noFill/>
                          <a:ln w="9525">
                            <a:noFill/>
                            <a:miter lim="800000"/>
                            <a:headEnd/>
                            <a:tailEnd/>
                          </a:ln>
                        </pic:spPr>
                      </pic:pic>
                    </a:graphicData>
                  </a:graphic>
                </wp:inline>
              </w:drawing>
            </w:r>
          </w:p>
        </w:tc>
        <w:tc>
          <w:tcPr>
            <w:tcW w:w="7308" w:type="dxa"/>
            <w:tcBorders>
              <w:top w:val="single" w:sz="4" w:space="0" w:color="88BC58" w:themeColor="accent3"/>
              <w:bottom w:val="single" w:sz="4" w:space="0" w:color="88BC58" w:themeColor="accent3"/>
            </w:tcBorders>
            <w:shd w:val="clear" w:color="auto" w:fill="FFFFFF" w:themeFill="background1"/>
            <w:vAlign w:val="center"/>
          </w:tcPr>
          <w:p w:rsidR="0036552B" w:rsidRPr="0036552B" w:rsidRDefault="0036552B" w:rsidP="00280B59">
            <w:pPr>
              <w:spacing w:before="0" w:after="0"/>
              <w:cnfStyle w:val="000000000000"/>
              <w:rPr>
                <w:rFonts w:ascii="Calibri" w:hAnsi="Calibri" w:cs="Arial"/>
                <w:color w:val="000000" w:themeColor="text1"/>
                <w:szCs w:val="18"/>
              </w:rPr>
            </w:pPr>
            <w:r w:rsidRPr="0036552B">
              <w:rPr>
                <w:rFonts w:ascii="Calibri" w:hAnsi="Calibri" w:cs="Arial"/>
                <w:color w:val="000000" w:themeColor="text1"/>
                <w:szCs w:val="18"/>
              </w:rPr>
              <w:t>The Windows Virtual Enterprise Centralized Desktop (VECD) licensing option enables the use of business versions of Windows in both centralized and virtualization scenarios. Available as a subscription license through Volume Licensing.</w:t>
            </w:r>
          </w:p>
        </w:tc>
      </w:tr>
    </w:tbl>
    <w:p w:rsidR="0036552B" w:rsidRDefault="0036552B" w:rsidP="001515CD">
      <w:pPr>
        <w:pStyle w:val="Heading2"/>
        <w:spacing w:after="0"/>
      </w:pPr>
      <w:r w:rsidRPr="0036552B">
        <w:t xml:space="preserve">Software Assurance </w:t>
      </w:r>
    </w:p>
    <w:p w:rsidR="00A132E6" w:rsidRPr="003C756C" w:rsidRDefault="006003B6" w:rsidP="001515CD">
      <w:pPr>
        <w:spacing w:after="0"/>
        <w:rPr>
          <w:sz w:val="20"/>
        </w:rPr>
      </w:pPr>
      <w:r w:rsidRPr="003C756C">
        <w:rPr>
          <w:sz w:val="20"/>
        </w:rPr>
        <w:t>Software Assurance is a suite of technologies, services</w:t>
      </w:r>
      <w:r w:rsidR="00C0248E" w:rsidRPr="003C756C">
        <w:rPr>
          <w:sz w:val="20"/>
        </w:rPr>
        <w:t>,</w:t>
      </w:r>
      <w:r w:rsidRPr="003C756C">
        <w:rPr>
          <w:sz w:val="20"/>
        </w:rPr>
        <w:t xml:space="preserve"> and licensing rights </w:t>
      </w:r>
      <w:r w:rsidR="00C0248E" w:rsidRPr="003C756C">
        <w:rPr>
          <w:sz w:val="20"/>
        </w:rPr>
        <w:t>to</w:t>
      </w:r>
      <w:r w:rsidRPr="003C756C">
        <w:rPr>
          <w:sz w:val="20"/>
        </w:rPr>
        <w:t xml:space="preserve"> help organizations maximize their </w:t>
      </w:r>
      <w:r w:rsidR="00C0248E" w:rsidRPr="003C756C">
        <w:rPr>
          <w:sz w:val="20"/>
        </w:rPr>
        <w:t>return on investment (</w:t>
      </w:r>
      <w:r w:rsidRPr="003C756C">
        <w:rPr>
          <w:sz w:val="20"/>
        </w:rPr>
        <w:t>ROI</w:t>
      </w:r>
      <w:r w:rsidR="00C0248E" w:rsidRPr="003C756C">
        <w:rPr>
          <w:sz w:val="20"/>
        </w:rPr>
        <w:t>)</w:t>
      </w:r>
      <w:r w:rsidRPr="003C756C">
        <w:rPr>
          <w:sz w:val="20"/>
        </w:rPr>
        <w:t xml:space="preserve"> from Microsof</w:t>
      </w:r>
      <w:r w:rsidR="00126641">
        <w:rPr>
          <w:sz w:val="20"/>
        </w:rPr>
        <w:t xml:space="preserve">t software. The main components </w:t>
      </w:r>
      <w:r w:rsidR="00ED75B5" w:rsidRPr="003C756C">
        <w:rPr>
          <w:sz w:val="20"/>
        </w:rPr>
        <w:t>include</w:t>
      </w:r>
      <w:r w:rsidRPr="003C756C">
        <w:rPr>
          <w:sz w:val="20"/>
        </w:rPr>
        <w:t>:</w:t>
      </w:r>
    </w:p>
    <w:tbl>
      <w:tblPr>
        <w:tblStyle w:val="DarkList-Accent12"/>
        <w:tblW w:w="0" w:type="auto"/>
        <w:tblCellMar>
          <w:top w:w="60" w:type="dxa"/>
          <w:left w:w="60" w:type="dxa"/>
          <w:bottom w:w="60" w:type="dxa"/>
          <w:right w:w="60" w:type="dxa"/>
        </w:tblCellMar>
        <w:tblLook w:val="04A0"/>
      </w:tblPr>
      <w:tblGrid>
        <w:gridCol w:w="2431"/>
        <w:gridCol w:w="7049"/>
      </w:tblGrid>
      <w:tr w:rsidR="0036552B" w:rsidRPr="0036552B" w:rsidTr="003C756C">
        <w:trPr>
          <w:cnfStyle w:val="100000000000"/>
          <w:cantSplit/>
        </w:trPr>
        <w:tc>
          <w:tcPr>
            <w:cnfStyle w:val="001000000000"/>
            <w:tcW w:w="2431" w:type="dxa"/>
            <w:tcBorders>
              <w:bottom w:val="none" w:sz="0" w:space="0" w:color="auto"/>
              <w:right w:val="single" w:sz="4" w:space="0" w:color="FFFFFF" w:themeColor="background1"/>
            </w:tcBorders>
            <w:shd w:val="clear" w:color="auto" w:fill="88BC58" w:themeFill="accent3"/>
          </w:tcPr>
          <w:p w:rsidR="0036552B" w:rsidRPr="0036552B" w:rsidRDefault="0036552B" w:rsidP="00EB26E5">
            <w:pPr>
              <w:spacing w:before="0" w:after="0"/>
              <w:rPr>
                <w:rFonts w:ascii="Calibri" w:hAnsi="Calibri"/>
              </w:rPr>
            </w:pPr>
            <w:r w:rsidRPr="0036552B">
              <w:rPr>
                <w:rFonts w:ascii="Calibri" w:hAnsi="Calibri"/>
              </w:rPr>
              <w:t xml:space="preserve">Benefit </w:t>
            </w:r>
          </w:p>
        </w:tc>
        <w:tc>
          <w:tcPr>
            <w:tcW w:w="7049" w:type="dxa"/>
            <w:tcBorders>
              <w:left w:val="single" w:sz="4" w:space="0" w:color="FFFFFF" w:themeColor="background1"/>
              <w:bottom w:val="none" w:sz="0" w:space="0" w:color="auto"/>
            </w:tcBorders>
            <w:shd w:val="clear" w:color="auto" w:fill="88BC58" w:themeFill="accent3"/>
          </w:tcPr>
          <w:p w:rsidR="0036552B" w:rsidRPr="0036552B" w:rsidRDefault="0036552B" w:rsidP="00EB26E5">
            <w:pPr>
              <w:spacing w:before="0" w:after="0"/>
              <w:cnfStyle w:val="100000000000"/>
              <w:rPr>
                <w:rFonts w:ascii="Calibri" w:hAnsi="Calibri"/>
              </w:rPr>
            </w:pPr>
            <w:r w:rsidRPr="0036552B">
              <w:rPr>
                <w:rFonts w:ascii="Calibri" w:hAnsi="Calibri"/>
              </w:rPr>
              <w:t>Description</w:t>
            </w:r>
          </w:p>
        </w:tc>
      </w:tr>
      <w:tr w:rsidR="0036552B" w:rsidRPr="0036552B" w:rsidTr="003C756C">
        <w:trPr>
          <w:cnfStyle w:val="000000100000"/>
          <w:cantSplit/>
        </w:trPr>
        <w:tc>
          <w:tcPr>
            <w:cnfStyle w:val="001000000000"/>
            <w:tcW w:w="2431" w:type="dxa"/>
            <w:tcBorders>
              <w:top w:val="none" w:sz="0" w:space="0" w:color="auto"/>
              <w:bottom w:val="single" w:sz="4" w:space="0" w:color="88BC58" w:themeColor="accent3"/>
              <w:right w:val="single" w:sz="4" w:space="0" w:color="FFFFFF" w:themeColor="background1"/>
            </w:tcBorders>
            <w:shd w:val="clear" w:color="auto" w:fill="E7F1DD" w:themeFill="accent3" w:themeFillTint="33"/>
          </w:tcPr>
          <w:p w:rsidR="0036552B" w:rsidRPr="0036552B" w:rsidRDefault="0036552B" w:rsidP="00EB26E5">
            <w:pPr>
              <w:spacing w:before="0" w:after="0"/>
              <w:rPr>
                <w:rFonts w:ascii="Calibri" w:hAnsi="Calibri"/>
                <w:b/>
                <w:color w:val="000000" w:themeColor="text1"/>
              </w:rPr>
            </w:pPr>
            <w:r w:rsidRPr="0036552B">
              <w:rPr>
                <w:rFonts w:ascii="Calibri" w:hAnsi="Calibri"/>
                <w:b/>
                <w:color w:val="000000" w:themeColor="text1"/>
              </w:rPr>
              <w:t>Windows 7 Enterprise</w:t>
            </w:r>
          </w:p>
        </w:tc>
        <w:tc>
          <w:tcPr>
            <w:tcW w:w="7049" w:type="dxa"/>
            <w:tcBorders>
              <w:top w:val="none" w:sz="0" w:space="0" w:color="auto"/>
              <w:left w:val="single" w:sz="4" w:space="0" w:color="FFFFFF" w:themeColor="background1"/>
              <w:bottom w:val="single" w:sz="4" w:space="0" w:color="88BC58" w:themeColor="accent3"/>
            </w:tcBorders>
            <w:shd w:val="clear" w:color="auto" w:fill="auto"/>
          </w:tcPr>
          <w:p w:rsidR="0036552B" w:rsidRPr="0036552B" w:rsidRDefault="00C0248E" w:rsidP="00C0248E">
            <w:pPr>
              <w:spacing w:before="0" w:after="0"/>
              <w:cnfStyle w:val="000000100000"/>
              <w:rPr>
                <w:rFonts w:ascii="Calibri" w:hAnsi="Calibri"/>
                <w:color w:val="000000" w:themeColor="text1"/>
              </w:rPr>
            </w:pPr>
            <w:r>
              <w:rPr>
                <w:rFonts w:ascii="Calibri" w:hAnsi="Calibri"/>
                <w:color w:val="000000" w:themeColor="text1"/>
              </w:rPr>
              <w:t>The</w:t>
            </w:r>
            <w:r w:rsidR="008521A5">
              <w:rPr>
                <w:rFonts w:ascii="Calibri" w:hAnsi="Calibri"/>
                <w:color w:val="000000" w:themeColor="text1"/>
              </w:rPr>
              <w:t xml:space="preserve"> </w:t>
            </w:r>
            <w:r w:rsidR="0036552B" w:rsidRPr="0036552B">
              <w:rPr>
                <w:rFonts w:ascii="Calibri" w:hAnsi="Calibri"/>
                <w:color w:val="000000" w:themeColor="text1"/>
              </w:rPr>
              <w:t xml:space="preserve">most advanced </w:t>
            </w:r>
            <w:r>
              <w:rPr>
                <w:rFonts w:ascii="Calibri" w:hAnsi="Calibri"/>
                <w:color w:val="000000" w:themeColor="text1"/>
              </w:rPr>
              <w:t xml:space="preserve">Microsoft </w:t>
            </w:r>
            <w:r w:rsidR="008521A5">
              <w:rPr>
                <w:rFonts w:ascii="Calibri" w:hAnsi="Calibri"/>
                <w:color w:val="000000" w:themeColor="text1"/>
              </w:rPr>
              <w:t xml:space="preserve">Windows </w:t>
            </w:r>
            <w:r w:rsidR="0036552B" w:rsidRPr="0036552B">
              <w:rPr>
                <w:rFonts w:ascii="Calibri" w:hAnsi="Calibri"/>
                <w:color w:val="000000" w:themeColor="text1"/>
              </w:rPr>
              <w:t>edition</w:t>
            </w:r>
            <w:r w:rsidR="008521A5">
              <w:rPr>
                <w:rFonts w:ascii="Calibri" w:hAnsi="Calibri"/>
                <w:color w:val="000000" w:themeColor="text1"/>
              </w:rPr>
              <w:t>,</w:t>
            </w:r>
            <w:r w:rsidR="0036552B" w:rsidRPr="0036552B">
              <w:rPr>
                <w:rFonts w:ascii="Calibri" w:hAnsi="Calibri"/>
                <w:color w:val="000000" w:themeColor="text1"/>
              </w:rPr>
              <w:t xml:space="preserve"> Windows 7 Enterprise is designed for the needs of enterprise customers with features like BitLocker Drive Encryption and Multilingual User Interface Language Packs.</w:t>
            </w:r>
          </w:p>
        </w:tc>
      </w:tr>
      <w:tr w:rsidR="0036552B" w:rsidRPr="0036552B" w:rsidTr="003C756C">
        <w:trPr>
          <w:cantSplit/>
          <w:trHeight w:val="386"/>
        </w:trPr>
        <w:tc>
          <w:tcPr>
            <w:cnfStyle w:val="001000000000"/>
            <w:tcW w:w="2431" w:type="dxa"/>
            <w:tcBorders>
              <w:top w:val="single" w:sz="4" w:space="0" w:color="88BC58" w:themeColor="accent3"/>
              <w:bottom w:val="single" w:sz="4" w:space="0" w:color="88BC58" w:themeColor="accent3"/>
              <w:right w:val="single" w:sz="4" w:space="0" w:color="FFFFFF" w:themeColor="background1"/>
            </w:tcBorders>
            <w:shd w:val="clear" w:color="auto" w:fill="E7F1DD" w:themeFill="accent3" w:themeFillTint="33"/>
          </w:tcPr>
          <w:p w:rsidR="0036552B" w:rsidRPr="0036552B" w:rsidRDefault="0036552B" w:rsidP="00EB26E5">
            <w:pPr>
              <w:spacing w:before="0" w:after="0"/>
              <w:rPr>
                <w:rFonts w:ascii="Calibri" w:hAnsi="Calibri"/>
                <w:b/>
                <w:color w:val="000000" w:themeColor="text1"/>
              </w:rPr>
            </w:pPr>
            <w:r w:rsidRPr="0036552B">
              <w:rPr>
                <w:rFonts w:ascii="Calibri" w:hAnsi="Calibri"/>
                <w:b/>
                <w:color w:val="000000" w:themeColor="text1"/>
              </w:rPr>
              <w:t xml:space="preserve">Microsoft Desktop Optimization Pack </w:t>
            </w:r>
          </w:p>
        </w:tc>
        <w:tc>
          <w:tcPr>
            <w:tcW w:w="7049" w:type="dxa"/>
            <w:tcBorders>
              <w:top w:val="single" w:sz="4" w:space="0" w:color="88BC58" w:themeColor="accent3"/>
              <w:left w:val="single" w:sz="4" w:space="0" w:color="FFFFFF" w:themeColor="background1"/>
              <w:bottom w:val="single" w:sz="4" w:space="0" w:color="88BC58" w:themeColor="accent3"/>
            </w:tcBorders>
            <w:shd w:val="clear" w:color="auto" w:fill="auto"/>
          </w:tcPr>
          <w:p w:rsidR="0036552B" w:rsidRPr="0036552B" w:rsidRDefault="0036552B" w:rsidP="006003B6">
            <w:pPr>
              <w:spacing w:before="0" w:after="0"/>
              <w:cnfStyle w:val="000000000000"/>
              <w:rPr>
                <w:rFonts w:ascii="Calibri" w:hAnsi="Calibri"/>
                <w:color w:val="000000" w:themeColor="text1"/>
                <w:szCs w:val="18"/>
              </w:rPr>
            </w:pPr>
            <w:r w:rsidRPr="0036552B">
              <w:rPr>
                <w:rFonts w:ascii="Calibri" w:hAnsi="Calibri"/>
                <w:color w:val="000000" w:themeColor="text1"/>
                <w:szCs w:val="18"/>
              </w:rPr>
              <w:t>MDOP provides innovative technologies to help better control the desktop PC, accelerate and simplify desktop PC deployments and management, and create a dynamic infrastructure by turning software into centrally-managed services.</w:t>
            </w:r>
            <w:r w:rsidR="006003B6">
              <w:rPr>
                <w:rFonts w:ascii="Calibri" w:hAnsi="Calibri"/>
                <w:color w:val="000000" w:themeColor="text1"/>
                <w:szCs w:val="18"/>
              </w:rPr>
              <w:t xml:space="preserve"> Available through Software Assurance as</w:t>
            </w:r>
            <w:r w:rsidR="006003B6" w:rsidRPr="0036552B">
              <w:rPr>
                <w:rFonts w:ascii="Calibri" w:hAnsi="Calibri"/>
                <w:color w:val="000000" w:themeColor="text1"/>
                <w:szCs w:val="18"/>
              </w:rPr>
              <w:t xml:space="preserve"> an add-on subscription license</w:t>
            </w:r>
            <w:r w:rsidR="006003B6">
              <w:rPr>
                <w:rFonts w:ascii="Calibri" w:hAnsi="Calibri"/>
                <w:color w:val="000000" w:themeColor="text1"/>
                <w:szCs w:val="18"/>
              </w:rPr>
              <w:t>.</w:t>
            </w:r>
          </w:p>
        </w:tc>
      </w:tr>
      <w:tr w:rsidR="0036552B" w:rsidRPr="0036552B" w:rsidTr="003C756C">
        <w:trPr>
          <w:cnfStyle w:val="000000100000"/>
          <w:cantSplit/>
        </w:trPr>
        <w:tc>
          <w:tcPr>
            <w:cnfStyle w:val="001000000000"/>
            <w:tcW w:w="2431" w:type="dxa"/>
            <w:tcBorders>
              <w:top w:val="single" w:sz="4" w:space="0" w:color="88BC58" w:themeColor="accent3"/>
              <w:bottom w:val="single" w:sz="4" w:space="0" w:color="88BC58" w:themeColor="accent3"/>
              <w:right w:val="single" w:sz="4" w:space="0" w:color="FFFFFF" w:themeColor="background1"/>
            </w:tcBorders>
            <w:shd w:val="clear" w:color="auto" w:fill="E7F1DD" w:themeFill="accent3" w:themeFillTint="33"/>
          </w:tcPr>
          <w:p w:rsidR="0036552B" w:rsidRPr="0036552B" w:rsidRDefault="0036552B" w:rsidP="00EB26E5">
            <w:pPr>
              <w:spacing w:before="0" w:after="0"/>
              <w:rPr>
                <w:rFonts w:ascii="Calibri" w:hAnsi="Calibri"/>
                <w:b/>
                <w:color w:val="000000" w:themeColor="text1"/>
              </w:rPr>
            </w:pPr>
            <w:r w:rsidRPr="0036552B">
              <w:rPr>
                <w:rFonts w:ascii="Calibri" w:hAnsi="Calibri"/>
                <w:b/>
                <w:color w:val="000000" w:themeColor="text1"/>
              </w:rPr>
              <w:t>Windows Virtual Enterprise Centralized Desktop</w:t>
            </w:r>
          </w:p>
        </w:tc>
        <w:tc>
          <w:tcPr>
            <w:tcW w:w="7049" w:type="dxa"/>
            <w:tcBorders>
              <w:top w:val="single" w:sz="4" w:space="0" w:color="88BC58" w:themeColor="accent3"/>
              <w:left w:val="single" w:sz="4" w:space="0" w:color="FFFFFF" w:themeColor="background1"/>
              <w:bottom w:val="single" w:sz="4" w:space="0" w:color="88BC58" w:themeColor="accent3"/>
            </w:tcBorders>
            <w:shd w:val="clear" w:color="auto" w:fill="auto"/>
          </w:tcPr>
          <w:p w:rsidR="0036552B" w:rsidRPr="0036552B" w:rsidRDefault="0036552B" w:rsidP="00EB26E5">
            <w:pPr>
              <w:spacing w:before="0" w:after="0"/>
              <w:cnfStyle w:val="000000100000"/>
              <w:rPr>
                <w:rFonts w:ascii="Calibri" w:hAnsi="Calibri"/>
                <w:color w:val="000000" w:themeColor="text1"/>
                <w:szCs w:val="18"/>
              </w:rPr>
            </w:pPr>
            <w:r w:rsidRPr="0036552B">
              <w:rPr>
                <w:rFonts w:ascii="Calibri" w:hAnsi="Calibri"/>
                <w:color w:val="000000" w:themeColor="text1"/>
                <w:szCs w:val="18"/>
              </w:rPr>
              <w:t>Windows VECD is an annual device-based subscription that enables organizations to license virtual copies of Windows 7 (or prior OS versions) in a variety of user scenarios.</w:t>
            </w:r>
          </w:p>
        </w:tc>
      </w:tr>
      <w:tr w:rsidR="0036552B" w:rsidRPr="0036552B" w:rsidTr="003C756C">
        <w:trPr>
          <w:cantSplit/>
        </w:trPr>
        <w:tc>
          <w:tcPr>
            <w:cnfStyle w:val="001000000000"/>
            <w:tcW w:w="2431" w:type="dxa"/>
            <w:tcBorders>
              <w:top w:val="single" w:sz="4" w:space="0" w:color="88BC58" w:themeColor="accent3"/>
              <w:bottom w:val="single" w:sz="4" w:space="0" w:color="88BC58" w:themeColor="accent3"/>
              <w:right w:val="single" w:sz="4" w:space="0" w:color="FFFFFF" w:themeColor="background1"/>
            </w:tcBorders>
            <w:shd w:val="clear" w:color="auto" w:fill="E7F1DD" w:themeFill="accent3" w:themeFillTint="33"/>
          </w:tcPr>
          <w:p w:rsidR="0036552B" w:rsidRPr="0036552B" w:rsidRDefault="0036552B" w:rsidP="00EB26E5">
            <w:pPr>
              <w:spacing w:before="0" w:after="0"/>
              <w:rPr>
                <w:rFonts w:ascii="Calibri" w:hAnsi="Calibri"/>
                <w:b/>
                <w:color w:val="000000" w:themeColor="text1"/>
              </w:rPr>
            </w:pPr>
            <w:r w:rsidRPr="0036552B">
              <w:rPr>
                <w:rFonts w:ascii="Calibri" w:hAnsi="Calibri"/>
                <w:b/>
                <w:color w:val="000000" w:themeColor="text1"/>
              </w:rPr>
              <w:t>Windows Fundamentals for Legacy PCs</w:t>
            </w:r>
          </w:p>
        </w:tc>
        <w:tc>
          <w:tcPr>
            <w:tcW w:w="7049" w:type="dxa"/>
            <w:tcBorders>
              <w:top w:val="single" w:sz="4" w:space="0" w:color="88BC58" w:themeColor="accent3"/>
              <w:left w:val="single" w:sz="4" w:space="0" w:color="FFFFFF" w:themeColor="background1"/>
              <w:bottom w:val="single" w:sz="4" w:space="0" w:color="88BC58" w:themeColor="accent3"/>
            </w:tcBorders>
            <w:shd w:val="clear" w:color="auto" w:fill="auto"/>
          </w:tcPr>
          <w:p w:rsidR="0036552B" w:rsidRPr="0036552B" w:rsidRDefault="0036552B" w:rsidP="00EB26E5">
            <w:pPr>
              <w:spacing w:before="0" w:after="0"/>
              <w:cnfStyle w:val="000000000000"/>
              <w:rPr>
                <w:rFonts w:ascii="Calibri" w:hAnsi="Calibri"/>
                <w:color w:val="000000" w:themeColor="text1"/>
                <w:szCs w:val="18"/>
              </w:rPr>
            </w:pPr>
            <w:r w:rsidRPr="0036552B">
              <w:rPr>
                <w:rFonts w:ascii="Calibri" w:hAnsi="Calibri"/>
                <w:color w:val="000000" w:themeColor="text1"/>
                <w:szCs w:val="18"/>
              </w:rPr>
              <w:t>Available exclusively to Microsoft Software Assurance customers, this small-footprint, Windows-based operating system solution is for customers with legacy computers running early operating systems who are not in a position to purchase new hardware.</w:t>
            </w:r>
          </w:p>
        </w:tc>
      </w:tr>
      <w:tr w:rsidR="0036552B" w:rsidRPr="0036552B" w:rsidTr="003C756C">
        <w:trPr>
          <w:cnfStyle w:val="000000100000"/>
          <w:cantSplit/>
        </w:trPr>
        <w:tc>
          <w:tcPr>
            <w:cnfStyle w:val="001000000000"/>
            <w:tcW w:w="2431" w:type="dxa"/>
            <w:tcBorders>
              <w:top w:val="single" w:sz="4" w:space="0" w:color="88BC58" w:themeColor="accent3"/>
              <w:bottom w:val="single" w:sz="4" w:space="0" w:color="88BC58" w:themeColor="accent3"/>
              <w:right w:val="single" w:sz="4" w:space="0" w:color="FFFFFF" w:themeColor="background1"/>
            </w:tcBorders>
            <w:shd w:val="clear" w:color="auto" w:fill="E7F1DD" w:themeFill="accent3" w:themeFillTint="33"/>
          </w:tcPr>
          <w:p w:rsidR="0036552B" w:rsidRPr="0036552B" w:rsidRDefault="0036552B" w:rsidP="00EB26E5">
            <w:pPr>
              <w:spacing w:before="0" w:after="0"/>
              <w:rPr>
                <w:rFonts w:ascii="Calibri" w:hAnsi="Calibri"/>
                <w:b/>
                <w:color w:val="000000" w:themeColor="text1"/>
              </w:rPr>
            </w:pPr>
            <w:r w:rsidRPr="0036552B">
              <w:rPr>
                <w:rFonts w:ascii="Calibri" w:hAnsi="Calibri"/>
                <w:b/>
                <w:color w:val="000000" w:themeColor="text1"/>
              </w:rPr>
              <w:t>Virtual OS Rights</w:t>
            </w:r>
          </w:p>
        </w:tc>
        <w:tc>
          <w:tcPr>
            <w:tcW w:w="7049" w:type="dxa"/>
            <w:tcBorders>
              <w:top w:val="single" w:sz="4" w:space="0" w:color="88BC58" w:themeColor="accent3"/>
              <w:left w:val="single" w:sz="4" w:space="0" w:color="FFFFFF" w:themeColor="background1"/>
              <w:bottom w:val="single" w:sz="4" w:space="0" w:color="88BC58" w:themeColor="accent3"/>
            </w:tcBorders>
            <w:shd w:val="clear" w:color="auto" w:fill="auto"/>
          </w:tcPr>
          <w:p w:rsidR="0036552B" w:rsidRPr="0036552B" w:rsidRDefault="0036552B" w:rsidP="00EB26E5">
            <w:pPr>
              <w:spacing w:before="0" w:after="0"/>
              <w:cnfStyle w:val="000000100000"/>
              <w:rPr>
                <w:rFonts w:ascii="Calibri" w:hAnsi="Calibri"/>
                <w:color w:val="000000" w:themeColor="text1"/>
                <w:szCs w:val="18"/>
              </w:rPr>
            </w:pPr>
            <w:r w:rsidRPr="0036552B">
              <w:rPr>
                <w:rFonts w:ascii="Calibri" w:hAnsi="Calibri"/>
                <w:color w:val="000000" w:themeColor="text1"/>
                <w:szCs w:val="18"/>
              </w:rPr>
              <w:t>Use up to four instances of Windows in virtual OS environments for each license that has active Software Assurance coverage.</w:t>
            </w:r>
          </w:p>
        </w:tc>
      </w:tr>
      <w:tr w:rsidR="0036552B" w:rsidRPr="0036552B" w:rsidTr="003C756C">
        <w:trPr>
          <w:cantSplit/>
        </w:trPr>
        <w:tc>
          <w:tcPr>
            <w:cnfStyle w:val="001000000000"/>
            <w:tcW w:w="2431" w:type="dxa"/>
            <w:tcBorders>
              <w:top w:val="single" w:sz="4" w:space="0" w:color="88BC58" w:themeColor="accent3"/>
              <w:bottom w:val="single" w:sz="4" w:space="0" w:color="88BC58" w:themeColor="accent3"/>
              <w:right w:val="single" w:sz="4" w:space="0" w:color="FFFFFF" w:themeColor="background1"/>
            </w:tcBorders>
            <w:shd w:val="clear" w:color="auto" w:fill="E7F1DD" w:themeFill="accent3" w:themeFillTint="33"/>
          </w:tcPr>
          <w:p w:rsidR="0036552B" w:rsidRPr="0036552B" w:rsidRDefault="0036552B" w:rsidP="00EB26E5">
            <w:pPr>
              <w:spacing w:before="0" w:after="0"/>
              <w:rPr>
                <w:rFonts w:ascii="Calibri" w:hAnsi="Calibri"/>
                <w:b/>
                <w:color w:val="000000" w:themeColor="text1"/>
              </w:rPr>
            </w:pPr>
            <w:r w:rsidRPr="0036552B">
              <w:rPr>
                <w:rFonts w:ascii="Calibri" w:hAnsi="Calibri"/>
                <w:b/>
                <w:color w:val="000000" w:themeColor="text1"/>
              </w:rPr>
              <w:lastRenderedPageBreak/>
              <w:t>New Version Rights</w:t>
            </w:r>
          </w:p>
        </w:tc>
        <w:tc>
          <w:tcPr>
            <w:tcW w:w="7049" w:type="dxa"/>
            <w:tcBorders>
              <w:top w:val="single" w:sz="4" w:space="0" w:color="88BC58" w:themeColor="accent3"/>
              <w:left w:val="single" w:sz="4" w:space="0" w:color="FFFFFF" w:themeColor="background1"/>
              <w:bottom w:val="single" w:sz="4" w:space="0" w:color="88BC58" w:themeColor="accent3"/>
            </w:tcBorders>
            <w:shd w:val="clear" w:color="auto" w:fill="auto"/>
          </w:tcPr>
          <w:p w:rsidR="0036552B" w:rsidRPr="0036552B" w:rsidRDefault="0036552B" w:rsidP="00EB26E5">
            <w:pPr>
              <w:spacing w:before="0" w:after="0"/>
              <w:cnfStyle w:val="000000000000"/>
              <w:rPr>
                <w:rFonts w:ascii="Calibri" w:hAnsi="Calibri"/>
                <w:color w:val="000000" w:themeColor="text1"/>
                <w:szCs w:val="18"/>
              </w:rPr>
            </w:pPr>
            <w:r w:rsidRPr="0036552B">
              <w:rPr>
                <w:rFonts w:ascii="Calibri" w:hAnsi="Calibri"/>
                <w:color w:val="000000" w:themeColor="text1"/>
                <w:szCs w:val="18"/>
              </w:rPr>
              <w:t xml:space="preserve">Receive new versions of licensed software released during the term of your coverage. If you have Software Assurance coverage for your PCs when Windows 7 is released, you will automatically receive rights to use Windows 7 Enterprise on those PCs. </w:t>
            </w:r>
          </w:p>
        </w:tc>
      </w:tr>
      <w:tr w:rsidR="009C1DA4" w:rsidRPr="0036552B" w:rsidTr="003C756C">
        <w:trPr>
          <w:cnfStyle w:val="000000100000"/>
          <w:cantSplit/>
        </w:trPr>
        <w:tc>
          <w:tcPr>
            <w:cnfStyle w:val="001000000000"/>
            <w:tcW w:w="2431" w:type="dxa"/>
            <w:tcBorders>
              <w:top w:val="single" w:sz="4" w:space="0" w:color="88BC58" w:themeColor="accent3"/>
              <w:bottom w:val="single" w:sz="4" w:space="0" w:color="88BC58" w:themeColor="accent3"/>
              <w:right w:val="single" w:sz="4" w:space="0" w:color="FFFFFF" w:themeColor="background1"/>
            </w:tcBorders>
            <w:shd w:val="clear" w:color="auto" w:fill="E7F1DD" w:themeFill="accent3" w:themeFillTint="33"/>
          </w:tcPr>
          <w:p w:rsidR="009C1DA4" w:rsidRPr="0036552B" w:rsidRDefault="009C1DA4" w:rsidP="00EB26E5">
            <w:pPr>
              <w:spacing w:before="0" w:after="0"/>
              <w:rPr>
                <w:rFonts w:ascii="Calibri" w:hAnsi="Calibri"/>
                <w:b/>
                <w:color w:val="000000" w:themeColor="text1"/>
              </w:rPr>
            </w:pPr>
            <w:r>
              <w:rPr>
                <w:rFonts w:ascii="Calibri" w:hAnsi="Calibri"/>
                <w:b/>
                <w:color w:val="000000" w:themeColor="text1"/>
              </w:rPr>
              <w:t>Training Services</w:t>
            </w:r>
          </w:p>
        </w:tc>
        <w:tc>
          <w:tcPr>
            <w:tcW w:w="7049" w:type="dxa"/>
            <w:tcBorders>
              <w:top w:val="single" w:sz="4" w:space="0" w:color="88BC58" w:themeColor="accent3"/>
              <w:left w:val="single" w:sz="4" w:space="0" w:color="FFFFFF" w:themeColor="background1"/>
              <w:bottom w:val="single" w:sz="4" w:space="0" w:color="88BC58" w:themeColor="accent3"/>
            </w:tcBorders>
            <w:shd w:val="clear" w:color="auto" w:fill="auto"/>
          </w:tcPr>
          <w:p w:rsidR="009C1DA4" w:rsidRPr="0036552B" w:rsidRDefault="009C1DA4" w:rsidP="00EB26E5">
            <w:pPr>
              <w:spacing w:before="0" w:after="0"/>
              <w:cnfStyle w:val="000000100000"/>
              <w:rPr>
                <w:rFonts w:ascii="Calibri" w:hAnsi="Calibri"/>
                <w:color w:val="000000" w:themeColor="text1"/>
                <w:szCs w:val="18"/>
              </w:rPr>
            </w:pPr>
            <w:r>
              <w:rPr>
                <w:rFonts w:ascii="Calibri" w:hAnsi="Calibri"/>
                <w:color w:val="000000" w:themeColor="text1"/>
                <w:szCs w:val="18"/>
              </w:rPr>
              <w:t>Utilize online and classroom courses</w:t>
            </w:r>
            <w:r w:rsidR="003C756C">
              <w:rPr>
                <w:rFonts w:ascii="Calibri" w:hAnsi="Calibri"/>
                <w:color w:val="000000" w:themeColor="text1"/>
                <w:szCs w:val="18"/>
              </w:rPr>
              <w:t xml:space="preserve"> that address technical and end </w:t>
            </w:r>
            <w:r>
              <w:rPr>
                <w:rFonts w:ascii="Calibri" w:hAnsi="Calibri"/>
                <w:color w:val="000000" w:themeColor="text1"/>
                <w:szCs w:val="18"/>
              </w:rPr>
              <w:t>user training needs.</w:t>
            </w:r>
          </w:p>
        </w:tc>
      </w:tr>
      <w:tr w:rsidR="009C1DA4" w:rsidRPr="0036552B" w:rsidTr="003C756C">
        <w:trPr>
          <w:cantSplit/>
          <w:trHeight w:val="19"/>
        </w:trPr>
        <w:tc>
          <w:tcPr>
            <w:cnfStyle w:val="001000000000"/>
            <w:tcW w:w="2431" w:type="dxa"/>
            <w:tcBorders>
              <w:top w:val="single" w:sz="4" w:space="0" w:color="88BC58" w:themeColor="accent3"/>
              <w:bottom w:val="single" w:sz="18" w:space="0" w:color="88BC58" w:themeColor="accent3"/>
              <w:right w:val="single" w:sz="4" w:space="0" w:color="FFFFFF" w:themeColor="background1"/>
            </w:tcBorders>
            <w:shd w:val="clear" w:color="auto" w:fill="E7F1DD" w:themeFill="accent3" w:themeFillTint="33"/>
          </w:tcPr>
          <w:p w:rsidR="009C1DA4" w:rsidRPr="0036552B" w:rsidRDefault="005F4EAE" w:rsidP="00C0248E">
            <w:pPr>
              <w:spacing w:before="0" w:after="0"/>
              <w:rPr>
                <w:rFonts w:ascii="Calibri" w:hAnsi="Calibri"/>
                <w:b/>
                <w:color w:val="000000" w:themeColor="text1"/>
              </w:rPr>
            </w:pPr>
            <w:r>
              <w:rPr>
                <w:rFonts w:ascii="Calibri" w:hAnsi="Calibri"/>
                <w:b/>
                <w:color w:val="000000" w:themeColor="text1"/>
              </w:rPr>
              <w:t>Support Services</w:t>
            </w:r>
          </w:p>
        </w:tc>
        <w:tc>
          <w:tcPr>
            <w:tcW w:w="7049" w:type="dxa"/>
            <w:tcBorders>
              <w:top w:val="single" w:sz="4" w:space="0" w:color="88BC58" w:themeColor="accent3"/>
              <w:left w:val="single" w:sz="4" w:space="0" w:color="FFFFFF" w:themeColor="background1"/>
              <w:bottom w:val="single" w:sz="18" w:space="0" w:color="88BC58" w:themeColor="accent3"/>
            </w:tcBorders>
            <w:shd w:val="clear" w:color="auto" w:fill="auto"/>
          </w:tcPr>
          <w:p w:rsidR="00A132E6" w:rsidRDefault="00494DDC" w:rsidP="003C756C">
            <w:pPr>
              <w:spacing w:before="0" w:after="0"/>
              <w:cnfStyle w:val="000000000000"/>
              <w:rPr>
                <w:rFonts w:ascii="Calibri" w:hAnsi="Calibri"/>
                <w:color w:val="000000" w:themeColor="text1"/>
                <w:szCs w:val="18"/>
              </w:rPr>
            </w:pPr>
            <w:r w:rsidRPr="005F4EAE">
              <w:rPr>
                <w:rFonts w:ascii="Calibri" w:hAnsi="Calibri"/>
                <w:color w:val="000000" w:themeColor="text1"/>
                <w:szCs w:val="18"/>
              </w:rPr>
              <w:t xml:space="preserve">Use 24 x 7 problem resolution </w:t>
            </w:r>
            <w:r w:rsidR="003C756C">
              <w:rPr>
                <w:rFonts w:ascii="Calibri" w:hAnsi="Calibri"/>
                <w:color w:val="000000" w:themeColor="text1"/>
                <w:szCs w:val="18"/>
              </w:rPr>
              <w:t>and</w:t>
            </w:r>
            <w:r w:rsidRPr="005F4EAE">
              <w:rPr>
                <w:rFonts w:ascii="Calibri" w:hAnsi="Calibri"/>
                <w:color w:val="000000" w:themeColor="text1"/>
                <w:szCs w:val="18"/>
              </w:rPr>
              <w:t xml:space="preserve"> TechNet service</w:t>
            </w:r>
            <w:r w:rsidR="005F4EAE">
              <w:rPr>
                <w:rFonts w:ascii="Calibri" w:hAnsi="Calibri"/>
                <w:color w:val="000000" w:themeColor="text1"/>
                <w:szCs w:val="18"/>
              </w:rPr>
              <w:t xml:space="preserve"> to improve IT efficiency.</w:t>
            </w:r>
          </w:p>
        </w:tc>
      </w:tr>
    </w:tbl>
    <w:p w:rsidR="004445EA" w:rsidRDefault="004445EA" w:rsidP="00280B59">
      <w:pPr>
        <w:pStyle w:val="Heading2"/>
        <w:spacing w:before="0" w:after="120"/>
      </w:pPr>
    </w:p>
    <w:p w:rsidR="0036552B" w:rsidRDefault="0036552B" w:rsidP="001515CD">
      <w:pPr>
        <w:pStyle w:val="Heading2"/>
        <w:spacing w:before="0" w:after="0"/>
      </w:pPr>
      <w:r>
        <w:t xml:space="preserve">Windows 7 Enterprise </w:t>
      </w:r>
    </w:p>
    <w:p w:rsidR="0036552B" w:rsidRDefault="0036552B" w:rsidP="001515CD">
      <w:pPr>
        <w:spacing w:after="0"/>
      </w:pPr>
      <w:r w:rsidRPr="003C756C">
        <w:rPr>
          <w:sz w:val="20"/>
        </w:rPr>
        <w:t>Available only through Software Assurance, Windows 7 Enterprise has unique technology designed to address the needs of enterprise customers. Built on the Windows Vista foundation, Windows 7 Enterprise helps make people productive anywhere, enhances security and control, and streamlines PC management.</w:t>
      </w:r>
      <w:r w:rsidR="00280B59" w:rsidRPr="003C756C">
        <w:rPr>
          <w:sz w:val="20"/>
        </w:rPr>
        <w:t xml:space="preserve"> Learn more at </w:t>
      </w:r>
      <w:hyperlink r:id="rId14" w:history="1">
        <w:r w:rsidR="00280B59" w:rsidRPr="003C756C">
          <w:rPr>
            <w:color w:val="0033CC"/>
            <w:sz w:val="20"/>
            <w:szCs w:val="18"/>
            <w:u w:val="single"/>
          </w:rPr>
          <w:t>http://www.microsoft.com/windows/enterprise/products/windows-7.aspx</w:t>
        </w:r>
      </w:hyperlink>
    </w:p>
    <w:p w:rsidR="001515CD" w:rsidRPr="003C756C" w:rsidRDefault="001515CD" w:rsidP="001515CD">
      <w:pPr>
        <w:spacing w:after="0"/>
        <w:rPr>
          <w:sz w:val="20"/>
        </w:rPr>
      </w:pPr>
    </w:p>
    <w:tbl>
      <w:tblPr>
        <w:tblStyle w:val="DarkList-Accent13"/>
        <w:tblW w:w="0" w:type="auto"/>
        <w:tblCellMar>
          <w:top w:w="100" w:type="dxa"/>
          <w:bottom w:w="100" w:type="dxa"/>
        </w:tblCellMar>
        <w:tblLook w:val="04A0"/>
      </w:tblPr>
      <w:tblGrid>
        <w:gridCol w:w="2808"/>
        <w:gridCol w:w="6768"/>
      </w:tblGrid>
      <w:tr w:rsidR="0036552B" w:rsidRPr="0036552B" w:rsidTr="00280B59">
        <w:trPr>
          <w:cnfStyle w:val="100000000000"/>
          <w:trHeight w:val="95"/>
        </w:trPr>
        <w:tc>
          <w:tcPr>
            <w:cnfStyle w:val="001000000000"/>
            <w:tcW w:w="2808" w:type="dxa"/>
            <w:tcBorders>
              <w:bottom w:val="single" w:sz="4" w:space="0" w:color="FFFFFF" w:themeColor="background1"/>
              <w:right w:val="single" w:sz="4" w:space="0" w:color="FFFFFF" w:themeColor="background1"/>
            </w:tcBorders>
            <w:shd w:val="clear" w:color="auto" w:fill="88BC58" w:themeFill="accent3"/>
          </w:tcPr>
          <w:p w:rsidR="0036552B" w:rsidRPr="0036552B" w:rsidRDefault="0036552B" w:rsidP="00280B59">
            <w:pPr>
              <w:spacing w:before="0" w:after="0" w:line="216" w:lineRule="auto"/>
              <w:rPr>
                <w:rFonts w:ascii="Calibri" w:hAnsi="Calibri"/>
              </w:rPr>
            </w:pPr>
            <w:r w:rsidRPr="0036552B">
              <w:rPr>
                <w:rFonts w:ascii="Calibri" w:hAnsi="Calibri"/>
              </w:rPr>
              <w:t xml:space="preserve">Feature </w:t>
            </w:r>
          </w:p>
        </w:tc>
        <w:tc>
          <w:tcPr>
            <w:tcW w:w="6768" w:type="dxa"/>
            <w:tcBorders>
              <w:left w:val="single" w:sz="4" w:space="0" w:color="FFFFFF" w:themeColor="background1"/>
              <w:bottom w:val="single" w:sz="4" w:space="0" w:color="FFFFFF" w:themeColor="background1"/>
            </w:tcBorders>
            <w:shd w:val="clear" w:color="auto" w:fill="88BC58" w:themeFill="accent3"/>
          </w:tcPr>
          <w:p w:rsidR="0036552B" w:rsidRPr="0036552B" w:rsidRDefault="0036552B" w:rsidP="00280B59">
            <w:pPr>
              <w:spacing w:before="0" w:after="0" w:line="216" w:lineRule="auto"/>
              <w:cnfStyle w:val="100000000000"/>
              <w:rPr>
                <w:rFonts w:ascii="Calibri" w:hAnsi="Calibri"/>
              </w:rPr>
            </w:pPr>
            <w:r w:rsidRPr="0036552B">
              <w:rPr>
                <w:rFonts w:ascii="Calibri" w:hAnsi="Calibri"/>
              </w:rPr>
              <w:t>Description</w:t>
            </w:r>
          </w:p>
        </w:tc>
      </w:tr>
      <w:tr w:rsidR="0036552B" w:rsidRPr="0036552B" w:rsidTr="00C0248E">
        <w:trPr>
          <w:cnfStyle w:val="000000100000"/>
          <w:trHeight w:val="295"/>
        </w:trPr>
        <w:tc>
          <w:tcPr>
            <w:cnfStyle w:val="001000000000"/>
            <w:tcW w:w="2808" w:type="dxa"/>
            <w:tcBorders>
              <w:top w:val="single" w:sz="4" w:space="0" w:color="FFFFFF" w:themeColor="background1"/>
              <w:bottom w:val="single" w:sz="4" w:space="0" w:color="88BC58" w:themeColor="accent3"/>
              <w:right w:val="single" w:sz="4" w:space="0" w:color="FFFFFF" w:themeColor="background1"/>
            </w:tcBorders>
            <w:shd w:val="clear" w:color="auto" w:fill="E7F1DD" w:themeFill="accent3" w:themeFillTint="33"/>
          </w:tcPr>
          <w:p w:rsidR="0036552B" w:rsidRPr="0036552B" w:rsidRDefault="0036552B" w:rsidP="00280B59">
            <w:pPr>
              <w:spacing w:before="0" w:after="0" w:line="216" w:lineRule="auto"/>
              <w:rPr>
                <w:rFonts w:ascii="Calibri" w:hAnsi="Calibri"/>
                <w:b/>
                <w:color w:val="000000" w:themeColor="text1"/>
              </w:rPr>
            </w:pPr>
            <w:r w:rsidRPr="0036552B">
              <w:rPr>
                <w:rFonts w:ascii="Calibri" w:hAnsi="Calibri"/>
                <w:b/>
                <w:color w:val="000000" w:themeColor="text1"/>
              </w:rPr>
              <w:t>DirectAccess</w:t>
            </w:r>
          </w:p>
        </w:tc>
        <w:tc>
          <w:tcPr>
            <w:tcW w:w="6768" w:type="dxa"/>
            <w:tcBorders>
              <w:top w:val="single" w:sz="4" w:space="0" w:color="FFFFFF" w:themeColor="background1"/>
              <w:left w:val="single" w:sz="4" w:space="0" w:color="FFFFFF" w:themeColor="background1"/>
              <w:bottom w:val="single" w:sz="4" w:space="0" w:color="88BC58" w:themeColor="accent3"/>
            </w:tcBorders>
            <w:shd w:val="clear" w:color="auto" w:fill="auto"/>
          </w:tcPr>
          <w:p w:rsidR="0036552B" w:rsidRPr="0036552B" w:rsidRDefault="0036552B" w:rsidP="00280B59">
            <w:pPr>
              <w:spacing w:before="0" w:after="0" w:line="216" w:lineRule="auto"/>
              <w:cnfStyle w:val="000000100000"/>
              <w:rPr>
                <w:rFonts w:ascii="Calibri" w:hAnsi="Calibri"/>
                <w:color w:val="000000" w:themeColor="text1"/>
              </w:rPr>
            </w:pPr>
            <w:r w:rsidRPr="0036552B">
              <w:rPr>
                <w:rFonts w:ascii="Calibri" w:hAnsi="Calibri"/>
                <w:color w:val="000000" w:themeColor="text1"/>
              </w:rPr>
              <w:t>Give mobile users seamless access to corporate networks, when they are on Internet, without a need for them to start a virtual private network (VPN) connection.</w:t>
            </w:r>
          </w:p>
        </w:tc>
      </w:tr>
      <w:tr w:rsidR="0036552B" w:rsidRPr="0036552B" w:rsidTr="00C0248E">
        <w:trPr>
          <w:trHeight w:val="322"/>
        </w:trPr>
        <w:tc>
          <w:tcPr>
            <w:cnfStyle w:val="001000000000"/>
            <w:tcW w:w="2808" w:type="dxa"/>
            <w:tcBorders>
              <w:top w:val="single" w:sz="4" w:space="0" w:color="88BC58" w:themeColor="accent3"/>
              <w:bottom w:val="single" w:sz="4" w:space="0" w:color="88BC58" w:themeColor="accent3"/>
              <w:right w:val="single" w:sz="4" w:space="0" w:color="FFFFFF" w:themeColor="background1"/>
            </w:tcBorders>
            <w:shd w:val="clear" w:color="auto" w:fill="E7F1DD" w:themeFill="accent3" w:themeFillTint="33"/>
          </w:tcPr>
          <w:p w:rsidR="0036552B" w:rsidRPr="0036552B" w:rsidRDefault="0036552B" w:rsidP="00280B59">
            <w:pPr>
              <w:spacing w:before="0" w:after="0" w:line="216" w:lineRule="auto"/>
              <w:rPr>
                <w:rFonts w:ascii="Calibri" w:hAnsi="Calibri"/>
                <w:b/>
                <w:color w:val="000000" w:themeColor="text1"/>
              </w:rPr>
            </w:pPr>
            <w:r w:rsidRPr="0036552B">
              <w:rPr>
                <w:rFonts w:ascii="Calibri" w:hAnsi="Calibri"/>
                <w:b/>
                <w:color w:val="000000" w:themeColor="text1"/>
              </w:rPr>
              <w:t>BranchCache</w:t>
            </w:r>
          </w:p>
        </w:tc>
        <w:tc>
          <w:tcPr>
            <w:tcW w:w="6768" w:type="dxa"/>
            <w:tcBorders>
              <w:top w:val="single" w:sz="4" w:space="0" w:color="88BC58" w:themeColor="accent3"/>
              <w:left w:val="single" w:sz="4" w:space="0" w:color="FFFFFF" w:themeColor="background1"/>
              <w:bottom w:val="single" w:sz="4" w:space="0" w:color="88BC58" w:themeColor="accent3"/>
            </w:tcBorders>
            <w:shd w:val="clear" w:color="auto" w:fill="auto"/>
          </w:tcPr>
          <w:p w:rsidR="0036552B" w:rsidRPr="0036552B" w:rsidRDefault="0036552B" w:rsidP="00280B59">
            <w:pPr>
              <w:spacing w:before="0" w:after="0" w:line="216" w:lineRule="auto"/>
              <w:cnfStyle w:val="000000000000"/>
              <w:rPr>
                <w:rFonts w:ascii="Calibri" w:hAnsi="Calibri"/>
                <w:color w:val="000000" w:themeColor="text1"/>
                <w:szCs w:val="18"/>
              </w:rPr>
            </w:pPr>
            <w:r w:rsidRPr="0036552B">
              <w:rPr>
                <w:rFonts w:ascii="Calibri" w:hAnsi="Calibri"/>
                <w:color w:val="000000" w:themeColor="text1"/>
                <w:szCs w:val="18"/>
              </w:rPr>
              <w:t>Decrease time branch office users spend waiting to download files from remote servers by caching the previously accessed content locally in a branch’s network.</w:t>
            </w:r>
          </w:p>
        </w:tc>
      </w:tr>
      <w:tr w:rsidR="0036552B" w:rsidRPr="0036552B" w:rsidTr="00C0248E">
        <w:trPr>
          <w:cnfStyle w:val="000000100000"/>
          <w:trHeight w:val="520"/>
        </w:trPr>
        <w:tc>
          <w:tcPr>
            <w:cnfStyle w:val="001000000000"/>
            <w:tcW w:w="2808" w:type="dxa"/>
            <w:tcBorders>
              <w:top w:val="single" w:sz="4" w:space="0" w:color="88BC58" w:themeColor="accent3"/>
              <w:bottom w:val="single" w:sz="4" w:space="0" w:color="88BC58" w:themeColor="accent3"/>
              <w:right w:val="single" w:sz="4" w:space="0" w:color="FFFFFF" w:themeColor="background1"/>
            </w:tcBorders>
            <w:shd w:val="clear" w:color="auto" w:fill="E7F1DD" w:themeFill="accent3" w:themeFillTint="33"/>
          </w:tcPr>
          <w:p w:rsidR="0036552B" w:rsidRPr="0036552B" w:rsidRDefault="0036552B" w:rsidP="00280B59">
            <w:pPr>
              <w:spacing w:before="0" w:after="0" w:line="216" w:lineRule="auto"/>
              <w:rPr>
                <w:rFonts w:ascii="Calibri" w:hAnsi="Calibri"/>
                <w:b/>
                <w:color w:val="000000" w:themeColor="text1"/>
              </w:rPr>
            </w:pPr>
            <w:r w:rsidRPr="0036552B">
              <w:rPr>
                <w:rFonts w:ascii="Calibri" w:hAnsi="Calibri"/>
                <w:b/>
                <w:color w:val="000000" w:themeColor="text1"/>
              </w:rPr>
              <w:t>Enterprise Search Scopes</w:t>
            </w:r>
          </w:p>
        </w:tc>
        <w:tc>
          <w:tcPr>
            <w:tcW w:w="6768" w:type="dxa"/>
            <w:tcBorders>
              <w:top w:val="single" w:sz="4" w:space="0" w:color="88BC58" w:themeColor="accent3"/>
              <w:left w:val="single" w:sz="4" w:space="0" w:color="FFFFFF" w:themeColor="background1"/>
              <w:bottom w:val="single" w:sz="4" w:space="0" w:color="88BC58" w:themeColor="accent3"/>
            </w:tcBorders>
            <w:shd w:val="clear" w:color="auto" w:fill="auto"/>
          </w:tcPr>
          <w:p w:rsidR="0036552B" w:rsidRPr="0036552B" w:rsidRDefault="0036552B" w:rsidP="00280B59">
            <w:pPr>
              <w:spacing w:before="0" w:after="0" w:line="216" w:lineRule="auto"/>
              <w:cnfStyle w:val="000000100000"/>
              <w:rPr>
                <w:rFonts w:ascii="Calibri" w:hAnsi="Calibri"/>
                <w:color w:val="000000" w:themeColor="text1"/>
                <w:szCs w:val="18"/>
              </w:rPr>
            </w:pPr>
            <w:r w:rsidRPr="0036552B">
              <w:rPr>
                <w:rFonts w:ascii="Calibri" w:hAnsi="Calibri"/>
                <w:color w:val="000000" w:themeColor="text1"/>
                <w:szCs w:val="18"/>
              </w:rPr>
              <w:t>Make content on intranet portals, such as SharePoint sites, more discoverable and accessible to users, by populating links to users Start Menu, pointing them to the most appropriate data sources on the network.</w:t>
            </w:r>
          </w:p>
        </w:tc>
      </w:tr>
      <w:tr w:rsidR="0036552B" w:rsidRPr="0036552B" w:rsidTr="00280B59">
        <w:trPr>
          <w:trHeight w:val="449"/>
        </w:trPr>
        <w:tc>
          <w:tcPr>
            <w:cnfStyle w:val="001000000000"/>
            <w:tcW w:w="2808" w:type="dxa"/>
            <w:tcBorders>
              <w:top w:val="single" w:sz="4" w:space="0" w:color="88BC58" w:themeColor="accent3"/>
              <w:bottom w:val="single" w:sz="4" w:space="0" w:color="88BC58" w:themeColor="accent3"/>
              <w:right w:val="single" w:sz="4" w:space="0" w:color="FFFFFF" w:themeColor="background1"/>
            </w:tcBorders>
            <w:shd w:val="clear" w:color="auto" w:fill="E7F1DD" w:themeFill="accent3" w:themeFillTint="33"/>
          </w:tcPr>
          <w:p w:rsidR="0036552B" w:rsidRPr="0036552B" w:rsidRDefault="0036552B" w:rsidP="00280B59">
            <w:pPr>
              <w:spacing w:before="0" w:after="0" w:line="216" w:lineRule="auto"/>
              <w:rPr>
                <w:rFonts w:ascii="Calibri" w:hAnsi="Calibri"/>
                <w:b/>
                <w:color w:val="000000" w:themeColor="text1"/>
              </w:rPr>
            </w:pPr>
            <w:r w:rsidRPr="0036552B">
              <w:rPr>
                <w:rFonts w:ascii="Calibri" w:hAnsi="Calibri"/>
                <w:b/>
                <w:color w:val="000000" w:themeColor="text1"/>
              </w:rPr>
              <w:t>BitLocker and BitLocker To Go</w:t>
            </w:r>
          </w:p>
        </w:tc>
        <w:tc>
          <w:tcPr>
            <w:tcW w:w="6768" w:type="dxa"/>
            <w:tcBorders>
              <w:top w:val="single" w:sz="4" w:space="0" w:color="88BC58" w:themeColor="accent3"/>
              <w:left w:val="single" w:sz="4" w:space="0" w:color="FFFFFF" w:themeColor="background1"/>
              <w:bottom w:val="single" w:sz="4" w:space="0" w:color="88BC58" w:themeColor="accent3"/>
            </w:tcBorders>
            <w:shd w:val="clear" w:color="auto" w:fill="auto"/>
          </w:tcPr>
          <w:p w:rsidR="0036552B" w:rsidRPr="0036552B" w:rsidRDefault="0036552B" w:rsidP="00280B59">
            <w:pPr>
              <w:spacing w:before="0" w:after="0" w:line="216" w:lineRule="auto"/>
              <w:cnfStyle w:val="000000000000"/>
              <w:rPr>
                <w:rFonts w:ascii="Calibri" w:hAnsi="Calibri"/>
                <w:color w:val="000000" w:themeColor="text1"/>
                <w:szCs w:val="18"/>
              </w:rPr>
            </w:pPr>
            <w:r w:rsidRPr="0036552B">
              <w:rPr>
                <w:rFonts w:ascii="Calibri" w:hAnsi="Calibri"/>
                <w:color w:val="000000" w:themeColor="text1"/>
                <w:szCs w:val="18"/>
              </w:rPr>
              <w:t>Help protect data on PCs and removable drives with the manageability to enforce encryption and backup of recovery keys.</w:t>
            </w:r>
          </w:p>
        </w:tc>
      </w:tr>
      <w:tr w:rsidR="0036552B" w:rsidRPr="0036552B" w:rsidTr="00280B59">
        <w:trPr>
          <w:cnfStyle w:val="000000100000"/>
          <w:trHeight w:val="112"/>
        </w:trPr>
        <w:tc>
          <w:tcPr>
            <w:cnfStyle w:val="001000000000"/>
            <w:tcW w:w="2808" w:type="dxa"/>
            <w:tcBorders>
              <w:top w:val="single" w:sz="4" w:space="0" w:color="88BC58" w:themeColor="accent3"/>
              <w:bottom w:val="single" w:sz="4" w:space="0" w:color="88BC58" w:themeColor="accent3"/>
              <w:right w:val="single" w:sz="4" w:space="0" w:color="FFFFFF" w:themeColor="background1"/>
            </w:tcBorders>
            <w:shd w:val="clear" w:color="auto" w:fill="E7F1DD" w:themeFill="accent3" w:themeFillTint="33"/>
          </w:tcPr>
          <w:p w:rsidR="0036552B" w:rsidRPr="0036552B" w:rsidRDefault="0036552B" w:rsidP="00280B59">
            <w:pPr>
              <w:spacing w:before="0" w:after="0" w:line="216" w:lineRule="auto"/>
              <w:rPr>
                <w:rFonts w:ascii="Calibri" w:hAnsi="Calibri"/>
                <w:b/>
                <w:color w:val="000000" w:themeColor="text1"/>
              </w:rPr>
            </w:pPr>
            <w:r w:rsidRPr="0036552B">
              <w:rPr>
                <w:rFonts w:ascii="Calibri" w:hAnsi="Calibri"/>
                <w:b/>
                <w:color w:val="000000" w:themeColor="text1"/>
              </w:rPr>
              <w:t>AppLocker</w:t>
            </w:r>
          </w:p>
        </w:tc>
        <w:tc>
          <w:tcPr>
            <w:tcW w:w="6768" w:type="dxa"/>
            <w:tcBorders>
              <w:top w:val="single" w:sz="4" w:space="0" w:color="88BC58" w:themeColor="accent3"/>
              <w:left w:val="single" w:sz="4" w:space="0" w:color="FFFFFF" w:themeColor="background1"/>
              <w:bottom w:val="single" w:sz="4" w:space="0" w:color="88BC58" w:themeColor="accent3"/>
            </w:tcBorders>
            <w:shd w:val="clear" w:color="auto" w:fill="auto"/>
          </w:tcPr>
          <w:p w:rsidR="0036552B" w:rsidRPr="0036552B" w:rsidRDefault="0036552B" w:rsidP="00280B59">
            <w:pPr>
              <w:spacing w:before="0" w:after="0" w:line="216" w:lineRule="auto"/>
              <w:cnfStyle w:val="000000100000"/>
              <w:rPr>
                <w:rFonts w:ascii="Calibri" w:hAnsi="Calibri"/>
                <w:color w:val="000000" w:themeColor="text1"/>
                <w:szCs w:val="18"/>
              </w:rPr>
            </w:pPr>
            <w:r w:rsidRPr="0036552B">
              <w:rPr>
                <w:rFonts w:ascii="Calibri" w:hAnsi="Calibri"/>
                <w:color w:val="000000" w:themeColor="text1"/>
                <w:szCs w:val="18"/>
              </w:rPr>
              <w:t>Specify software that is allowed to run on users’ PCs with centrally managed, flexible group policies.</w:t>
            </w:r>
          </w:p>
        </w:tc>
      </w:tr>
      <w:tr w:rsidR="0036552B" w:rsidRPr="0036552B" w:rsidTr="00280B59">
        <w:trPr>
          <w:trHeight w:val="485"/>
        </w:trPr>
        <w:tc>
          <w:tcPr>
            <w:cnfStyle w:val="001000000000"/>
            <w:tcW w:w="2808" w:type="dxa"/>
            <w:tcBorders>
              <w:top w:val="single" w:sz="4" w:space="0" w:color="88BC58" w:themeColor="accent3"/>
              <w:bottom w:val="single" w:sz="4" w:space="0" w:color="88BC58" w:themeColor="accent3"/>
              <w:right w:val="single" w:sz="4" w:space="0" w:color="FFFFFF" w:themeColor="background1"/>
            </w:tcBorders>
            <w:shd w:val="clear" w:color="auto" w:fill="E7F1DD" w:themeFill="accent3" w:themeFillTint="33"/>
          </w:tcPr>
          <w:p w:rsidR="0036552B" w:rsidRPr="0036552B" w:rsidRDefault="0036552B" w:rsidP="00280B59">
            <w:pPr>
              <w:spacing w:before="0" w:after="0" w:line="216" w:lineRule="auto"/>
              <w:rPr>
                <w:rFonts w:ascii="Calibri" w:hAnsi="Calibri"/>
                <w:b/>
                <w:color w:val="000000" w:themeColor="text1"/>
              </w:rPr>
            </w:pPr>
            <w:r w:rsidRPr="0036552B">
              <w:rPr>
                <w:rFonts w:ascii="Calibri" w:hAnsi="Calibri"/>
                <w:b/>
                <w:color w:val="000000" w:themeColor="text1"/>
              </w:rPr>
              <w:t>Virtual Desktop Infrastructure (VDI) Optimizations</w:t>
            </w:r>
          </w:p>
        </w:tc>
        <w:tc>
          <w:tcPr>
            <w:tcW w:w="6768" w:type="dxa"/>
            <w:tcBorders>
              <w:top w:val="single" w:sz="4" w:space="0" w:color="88BC58" w:themeColor="accent3"/>
              <w:left w:val="single" w:sz="4" w:space="0" w:color="FFFFFF" w:themeColor="background1"/>
              <w:bottom w:val="single" w:sz="4" w:space="0" w:color="88BC58" w:themeColor="accent3"/>
            </w:tcBorders>
            <w:shd w:val="clear" w:color="auto" w:fill="auto"/>
          </w:tcPr>
          <w:p w:rsidR="0036552B" w:rsidRPr="0036552B" w:rsidRDefault="0036552B" w:rsidP="00280B59">
            <w:pPr>
              <w:spacing w:before="0" w:after="0" w:line="216" w:lineRule="auto"/>
              <w:cnfStyle w:val="000000000000"/>
              <w:rPr>
                <w:rFonts w:ascii="Calibri" w:hAnsi="Calibri"/>
                <w:color w:val="000000" w:themeColor="text1"/>
                <w:szCs w:val="18"/>
              </w:rPr>
            </w:pPr>
            <w:r w:rsidRPr="0036552B">
              <w:rPr>
                <w:rFonts w:ascii="Calibri" w:hAnsi="Calibri"/>
                <w:color w:val="000000" w:themeColor="text1"/>
                <w:szCs w:val="18"/>
              </w:rPr>
              <w:t>Improved user experience for VDI with multi-monitor and microphone support. Reuse virtual machine (VHD) images to boot a physical PC.</w:t>
            </w:r>
          </w:p>
        </w:tc>
      </w:tr>
      <w:tr w:rsidR="0036552B" w:rsidRPr="0036552B" w:rsidTr="00280B59">
        <w:trPr>
          <w:cnfStyle w:val="000000100000"/>
        </w:trPr>
        <w:tc>
          <w:tcPr>
            <w:cnfStyle w:val="001000000000"/>
            <w:tcW w:w="2808" w:type="dxa"/>
            <w:tcBorders>
              <w:top w:val="single" w:sz="4" w:space="0" w:color="88BC58" w:themeColor="accent3"/>
              <w:bottom w:val="single" w:sz="4" w:space="0" w:color="88BC58" w:themeColor="accent3"/>
              <w:right w:val="single" w:sz="4" w:space="0" w:color="FFFFFF" w:themeColor="background1"/>
            </w:tcBorders>
            <w:shd w:val="clear" w:color="auto" w:fill="E7F1DD" w:themeFill="accent3" w:themeFillTint="33"/>
          </w:tcPr>
          <w:p w:rsidR="0036552B" w:rsidRPr="0036552B" w:rsidRDefault="0036552B" w:rsidP="00280B59">
            <w:pPr>
              <w:spacing w:before="0" w:after="0" w:line="216" w:lineRule="auto"/>
              <w:rPr>
                <w:rFonts w:ascii="Calibri" w:hAnsi="Calibri"/>
                <w:b/>
                <w:color w:val="000000" w:themeColor="text1"/>
              </w:rPr>
            </w:pPr>
            <w:r w:rsidRPr="0036552B">
              <w:rPr>
                <w:rFonts w:ascii="Calibri" w:hAnsi="Calibri"/>
                <w:b/>
                <w:color w:val="000000" w:themeColor="text1"/>
              </w:rPr>
              <w:t>Multi Lingual User Interface</w:t>
            </w:r>
          </w:p>
        </w:tc>
        <w:tc>
          <w:tcPr>
            <w:tcW w:w="6768" w:type="dxa"/>
            <w:tcBorders>
              <w:top w:val="single" w:sz="4" w:space="0" w:color="88BC58" w:themeColor="accent3"/>
              <w:left w:val="single" w:sz="4" w:space="0" w:color="FFFFFF" w:themeColor="background1"/>
              <w:bottom w:val="single" w:sz="4" w:space="0" w:color="88BC58" w:themeColor="accent3"/>
            </w:tcBorders>
            <w:shd w:val="clear" w:color="auto" w:fill="auto"/>
          </w:tcPr>
          <w:p w:rsidR="0036552B" w:rsidRPr="0036552B" w:rsidRDefault="0036552B" w:rsidP="00280B59">
            <w:pPr>
              <w:spacing w:before="0" w:after="0" w:line="216" w:lineRule="auto"/>
              <w:cnfStyle w:val="000000100000"/>
              <w:rPr>
                <w:rFonts w:ascii="Calibri" w:hAnsi="Calibri"/>
                <w:color w:val="000000" w:themeColor="text1"/>
                <w:szCs w:val="18"/>
              </w:rPr>
            </w:pPr>
            <w:r w:rsidRPr="0036552B">
              <w:rPr>
                <w:rFonts w:ascii="Calibri" w:hAnsi="Calibri"/>
                <w:color w:val="000000" w:themeColor="text1"/>
                <w:szCs w:val="18"/>
              </w:rPr>
              <w:t>Create a single OS image for deployment to users worldwide.</w:t>
            </w:r>
          </w:p>
        </w:tc>
      </w:tr>
      <w:tr w:rsidR="0036552B" w:rsidRPr="0036552B" w:rsidTr="00280B59">
        <w:trPr>
          <w:trHeight w:val="259"/>
        </w:trPr>
        <w:tc>
          <w:tcPr>
            <w:cnfStyle w:val="001000000000"/>
            <w:tcW w:w="2808" w:type="dxa"/>
            <w:tcBorders>
              <w:top w:val="single" w:sz="4" w:space="0" w:color="88BC58" w:themeColor="accent3"/>
              <w:bottom w:val="single" w:sz="18" w:space="0" w:color="88BC58" w:themeColor="accent3"/>
              <w:right w:val="single" w:sz="4" w:space="0" w:color="FFFFFF" w:themeColor="background1"/>
            </w:tcBorders>
            <w:shd w:val="clear" w:color="auto" w:fill="E7F1DD" w:themeFill="accent3" w:themeFillTint="33"/>
          </w:tcPr>
          <w:p w:rsidR="0036552B" w:rsidRPr="0036552B" w:rsidRDefault="0036552B" w:rsidP="00280B59">
            <w:pPr>
              <w:spacing w:before="0" w:after="0" w:line="216" w:lineRule="auto"/>
              <w:rPr>
                <w:rFonts w:ascii="Calibri" w:hAnsi="Calibri"/>
                <w:b/>
                <w:color w:val="000000" w:themeColor="text1"/>
              </w:rPr>
            </w:pPr>
            <w:r w:rsidRPr="0036552B">
              <w:rPr>
                <w:rFonts w:ascii="Calibri" w:hAnsi="Calibri"/>
                <w:b/>
                <w:color w:val="000000" w:themeColor="text1"/>
              </w:rPr>
              <w:t>Subsystem for UNIX-based applications (SUA)</w:t>
            </w:r>
          </w:p>
        </w:tc>
        <w:tc>
          <w:tcPr>
            <w:tcW w:w="6768" w:type="dxa"/>
            <w:tcBorders>
              <w:top w:val="single" w:sz="4" w:space="0" w:color="88BC58" w:themeColor="accent3"/>
              <w:left w:val="single" w:sz="4" w:space="0" w:color="FFFFFF" w:themeColor="background1"/>
              <w:bottom w:val="single" w:sz="18" w:space="0" w:color="88BC58" w:themeColor="accent3"/>
            </w:tcBorders>
            <w:shd w:val="clear" w:color="auto" w:fill="auto"/>
          </w:tcPr>
          <w:p w:rsidR="0036552B" w:rsidRPr="0036552B" w:rsidRDefault="0036552B" w:rsidP="00280B59">
            <w:pPr>
              <w:spacing w:before="0" w:after="0" w:line="216" w:lineRule="auto"/>
              <w:cnfStyle w:val="000000000000"/>
              <w:rPr>
                <w:rFonts w:ascii="Calibri" w:hAnsi="Calibri"/>
                <w:color w:val="000000" w:themeColor="text1"/>
                <w:szCs w:val="18"/>
              </w:rPr>
            </w:pPr>
            <w:r w:rsidRPr="0036552B">
              <w:rPr>
                <w:rFonts w:ascii="Calibri" w:hAnsi="Calibri"/>
                <w:color w:val="000000" w:themeColor="text1"/>
                <w:szCs w:val="18"/>
              </w:rPr>
              <w:t>Run UNIX applications unchanged on a Windows-based PC.</w:t>
            </w:r>
          </w:p>
        </w:tc>
      </w:tr>
    </w:tbl>
    <w:p w:rsidR="0036552B" w:rsidRPr="0036552B" w:rsidRDefault="0036552B" w:rsidP="00280B59">
      <w:pPr>
        <w:pStyle w:val="Heading2"/>
        <w:spacing w:before="240" w:after="120"/>
        <w:rPr>
          <w:rFonts w:eastAsia="Times"/>
        </w:rPr>
      </w:pPr>
      <w:r w:rsidRPr="0036552B">
        <w:rPr>
          <w:rFonts w:eastAsia="Times"/>
        </w:rPr>
        <w:t>Resources</w:t>
      </w:r>
    </w:p>
    <w:p w:rsidR="00126641" w:rsidRDefault="00126641" w:rsidP="00A132E6">
      <w:pPr>
        <w:numPr>
          <w:ilvl w:val="0"/>
          <w:numId w:val="2"/>
        </w:numPr>
        <w:spacing w:before="0" w:after="60"/>
        <w:rPr>
          <w:rFonts w:cs="Segoe UI"/>
          <w:color w:val="4B4B4B"/>
          <w:sz w:val="20"/>
          <w:szCs w:val="18"/>
        </w:rPr>
      </w:pPr>
      <w:r>
        <w:rPr>
          <w:rFonts w:cs="Segoe UI"/>
          <w:color w:val="4B4B4B"/>
          <w:sz w:val="20"/>
          <w:szCs w:val="18"/>
        </w:rPr>
        <w:t xml:space="preserve">Windows 7 “How to Buy”: </w:t>
      </w:r>
      <w:hyperlink r:id="rId15" w:history="1">
        <w:r w:rsidRPr="00981A56">
          <w:rPr>
            <w:rStyle w:val="Hyperlink"/>
            <w:rFonts w:cs="Segoe UI"/>
            <w:sz w:val="20"/>
            <w:szCs w:val="18"/>
          </w:rPr>
          <w:t>http://www.microsoft.com/windows/enterprise/how-to-buy.aspx</w:t>
        </w:r>
      </w:hyperlink>
    </w:p>
    <w:p w:rsidR="00A132E6" w:rsidRPr="003C756C" w:rsidRDefault="00126641" w:rsidP="00A132E6">
      <w:pPr>
        <w:numPr>
          <w:ilvl w:val="0"/>
          <w:numId w:val="2"/>
        </w:numPr>
        <w:spacing w:before="0" w:after="60"/>
        <w:rPr>
          <w:rFonts w:cs="Segoe UI"/>
          <w:color w:val="4B4B4B"/>
          <w:sz w:val="20"/>
          <w:szCs w:val="18"/>
        </w:rPr>
      </w:pPr>
      <w:r>
        <w:rPr>
          <w:rFonts w:cs="Segoe UI"/>
          <w:bCs/>
          <w:color w:val="4B4B4B"/>
          <w:sz w:val="20"/>
          <w:szCs w:val="18"/>
        </w:rPr>
        <w:t xml:space="preserve">Microsoft Volume </w:t>
      </w:r>
      <w:r w:rsidR="0036552B" w:rsidRPr="003C756C">
        <w:rPr>
          <w:rFonts w:cs="Segoe UI"/>
          <w:bCs/>
          <w:color w:val="4B4B4B"/>
          <w:sz w:val="20"/>
          <w:szCs w:val="18"/>
        </w:rPr>
        <w:t xml:space="preserve">Licensing: </w:t>
      </w:r>
      <w:hyperlink r:id="rId16" w:history="1">
        <w:r w:rsidR="0036552B" w:rsidRPr="003C756C">
          <w:rPr>
            <w:rFonts w:cs="Calibri"/>
            <w:color w:val="0033CC"/>
            <w:sz w:val="20"/>
            <w:szCs w:val="18"/>
            <w:u w:val="single"/>
          </w:rPr>
          <w:t>http://www.microsoft.com/licensing/</w:t>
        </w:r>
      </w:hyperlink>
    </w:p>
    <w:p w:rsidR="00A132E6" w:rsidRPr="003C756C" w:rsidRDefault="0036552B" w:rsidP="00A132E6">
      <w:pPr>
        <w:numPr>
          <w:ilvl w:val="0"/>
          <w:numId w:val="2"/>
        </w:numPr>
        <w:spacing w:before="0" w:after="60"/>
        <w:rPr>
          <w:rFonts w:cs="Segoe UI"/>
          <w:color w:val="4B4B4B"/>
          <w:sz w:val="20"/>
          <w:szCs w:val="18"/>
        </w:rPr>
      </w:pPr>
      <w:r w:rsidRPr="003C756C">
        <w:rPr>
          <w:rFonts w:cs="Segoe UI"/>
          <w:color w:val="4B4B4B"/>
          <w:sz w:val="20"/>
          <w:szCs w:val="18"/>
        </w:rPr>
        <w:t xml:space="preserve">Software Assurance: </w:t>
      </w:r>
      <w:hyperlink r:id="rId17" w:history="1">
        <w:r w:rsidRPr="003C756C">
          <w:rPr>
            <w:color w:val="0033CC"/>
            <w:sz w:val="20"/>
            <w:szCs w:val="18"/>
            <w:u w:val="single"/>
          </w:rPr>
          <w:t>http://www.microsoft.com/licensing/sa/</w:t>
        </w:r>
      </w:hyperlink>
    </w:p>
    <w:p w:rsidR="002B32FE" w:rsidRPr="001515CD" w:rsidRDefault="0036552B">
      <w:pPr>
        <w:numPr>
          <w:ilvl w:val="0"/>
          <w:numId w:val="2"/>
        </w:numPr>
        <w:spacing w:before="0" w:after="60"/>
        <w:rPr>
          <w:rFonts w:cs="Segoe UI"/>
          <w:color w:val="4B4B4B"/>
          <w:sz w:val="20"/>
          <w:szCs w:val="18"/>
        </w:rPr>
      </w:pPr>
      <w:r w:rsidRPr="003C756C">
        <w:rPr>
          <w:rFonts w:cs="Segoe UI"/>
          <w:bCs/>
          <w:color w:val="4B4B4B"/>
          <w:sz w:val="20"/>
          <w:szCs w:val="18"/>
        </w:rPr>
        <w:t xml:space="preserve">Find a Microsoft Volume Licensing reseller in the United States: </w:t>
      </w:r>
      <w:hyperlink r:id="rId18" w:history="1">
        <w:r w:rsidRPr="003C756C">
          <w:rPr>
            <w:bCs/>
            <w:color w:val="0033CC"/>
            <w:sz w:val="20"/>
            <w:szCs w:val="18"/>
            <w:u w:val="single"/>
          </w:rPr>
          <w:t>https://solutionfinder.microsoft.com</w:t>
        </w:r>
      </w:hyperlink>
      <w:r w:rsidR="00280B59" w:rsidRPr="003C756C">
        <w:rPr>
          <w:sz w:val="20"/>
        </w:rPr>
        <w:t>.</w:t>
      </w:r>
      <w:r w:rsidRPr="003C756C">
        <w:rPr>
          <w:rFonts w:cs="Segoe UI"/>
          <w:bCs/>
          <w:color w:val="4B4B4B"/>
          <w:sz w:val="20"/>
          <w:szCs w:val="18"/>
        </w:rPr>
        <w:t xml:space="preserve"> </w:t>
      </w:r>
      <w:r w:rsidR="00280B59" w:rsidRPr="003C756C">
        <w:rPr>
          <w:rFonts w:cs="Segoe UI"/>
          <w:bCs/>
          <w:color w:val="4B4B4B"/>
          <w:sz w:val="20"/>
          <w:szCs w:val="18"/>
        </w:rPr>
        <w:t xml:space="preserve">Outside the United States and Canada: </w:t>
      </w:r>
      <w:hyperlink r:id="rId19" w:history="1">
        <w:r w:rsidR="00280B59" w:rsidRPr="003C756C">
          <w:rPr>
            <w:color w:val="0000FF"/>
            <w:sz w:val="20"/>
            <w:szCs w:val="18"/>
            <w:u w:val="single"/>
          </w:rPr>
          <w:t>http://www.microsoft.com/licensing/index/worldwide.mspx</w:t>
        </w:r>
      </w:hyperlink>
    </w:p>
    <w:p w:rsidR="001515CD" w:rsidRDefault="001515CD" w:rsidP="001515CD">
      <w:pPr>
        <w:spacing w:before="0" w:after="60"/>
      </w:pPr>
    </w:p>
    <w:p w:rsidR="001515CD" w:rsidRPr="001515CD" w:rsidRDefault="00126641" w:rsidP="001515CD">
      <w:pPr>
        <w:spacing w:before="0" w:after="60"/>
        <w:rPr>
          <w:rStyle w:val="Heading1Char"/>
          <w:rFonts w:asciiTheme="minorHAnsi" w:hAnsiTheme="minorHAnsi" w:cs="Segoe UI"/>
          <w:bCs w:val="0"/>
          <w:color w:val="4B4B4B"/>
          <w:kern w:val="0"/>
          <w:sz w:val="18"/>
          <w:szCs w:val="18"/>
        </w:rPr>
      </w:pPr>
      <w:r>
        <w:rPr>
          <w:sz w:val="16"/>
        </w:rPr>
        <w:t>1009</w:t>
      </w:r>
    </w:p>
    <w:sectPr w:rsidR="001515CD" w:rsidRPr="001515CD" w:rsidSect="00EB26E5">
      <w:headerReference w:type="even" r:id="rId20"/>
      <w:headerReference w:type="default" r:id="rId21"/>
      <w:footerReference w:type="even" r:id="rId22"/>
      <w:footerReference w:type="default" r:id="rId23"/>
      <w:pgSz w:w="12240" w:h="15840"/>
      <w:pgMar w:top="2070" w:right="1440" w:bottom="1080" w:left="1440" w:header="720" w:footer="45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187" w:rsidRDefault="00292187">
      <w:r>
        <w:separator/>
      </w:r>
    </w:p>
  </w:endnote>
  <w:endnote w:type="continuationSeparator" w:id="0">
    <w:p w:rsidR="00292187" w:rsidRDefault="002921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882" w:rsidRDefault="00323882">
    <w:pPr>
      <w:pStyle w:val="Footer"/>
      <w:jc w:val="right"/>
    </w:pPr>
  </w:p>
  <w:p w:rsidR="00323882" w:rsidRDefault="00635333">
    <w:pPr>
      <w:pStyle w:val="Footer"/>
    </w:pPr>
    <w:sdt>
      <w:sdtPr>
        <w:id w:val="5586740"/>
        <w:docPartObj>
          <w:docPartGallery w:val="Page Numbers (Bottom of Page)"/>
          <w:docPartUnique/>
        </w:docPartObj>
      </w:sdtPr>
      <w:sdtEndPr>
        <w:rPr>
          <w:sz w:val="18"/>
        </w:rPr>
      </w:sdtEndPr>
      <w:sdtContent>
        <w:r w:rsidRPr="00C872C3">
          <w:rPr>
            <w:sz w:val="18"/>
          </w:rPr>
          <w:fldChar w:fldCharType="begin"/>
        </w:r>
        <w:r w:rsidR="00323882" w:rsidRPr="00C872C3">
          <w:rPr>
            <w:sz w:val="18"/>
          </w:rPr>
          <w:instrText xml:space="preserve"> PAGE   \* MERGEFORMAT </w:instrText>
        </w:r>
        <w:r w:rsidRPr="00C872C3">
          <w:rPr>
            <w:sz w:val="18"/>
          </w:rPr>
          <w:fldChar w:fldCharType="separate"/>
        </w:r>
        <w:r w:rsidR="00323882">
          <w:rPr>
            <w:noProof/>
            <w:sz w:val="18"/>
          </w:rPr>
          <w:t>14</w:t>
        </w:r>
        <w:r w:rsidRPr="00C872C3">
          <w:rPr>
            <w:sz w:val="18"/>
          </w:rPr>
          <w:fldChar w:fldCharType="end"/>
        </w:r>
      </w:sdtContent>
    </w:sdt>
  </w:p>
  <w:p w:rsidR="00323882" w:rsidRDefault="003238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882" w:rsidRDefault="00635333" w:rsidP="00354D80">
    <w:pPr>
      <w:pStyle w:val="Footer"/>
      <w:tabs>
        <w:tab w:val="clear" w:pos="4320"/>
        <w:tab w:val="clear" w:pos="8640"/>
        <w:tab w:val="right" w:pos="9120"/>
      </w:tabs>
      <w:ind w:firstLine="8640"/>
      <w:rPr>
        <w:color w:val="808080" w:themeColor="background1" w:themeShade="80"/>
        <w:sz w:val="18"/>
        <w:szCs w:val="18"/>
      </w:rPr>
    </w:pPr>
    <w:r w:rsidRPr="007E0002">
      <w:rPr>
        <w:rStyle w:val="PageNumber"/>
        <w:color w:val="808080" w:themeColor="background1" w:themeShade="80"/>
        <w:sz w:val="18"/>
        <w:szCs w:val="18"/>
      </w:rPr>
      <w:fldChar w:fldCharType="begin"/>
    </w:r>
    <w:r w:rsidR="00323882" w:rsidRPr="007E0002">
      <w:rPr>
        <w:rStyle w:val="PageNumber"/>
        <w:color w:val="808080" w:themeColor="background1" w:themeShade="80"/>
        <w:sz w:val="18"/>
        <w:szCs w:val="18"/>
      </w:rPr>
      <w:instrText xml:space="preserve"> PAGE </w:instrText>
    </w:r>
    <w:r w:rsidRPr="007E0002">
      <w:rPr>
        <w:rStyle w:val="PageNumber"/>
        <w:color w:val="808080" w:themeColor="background1" w:themeShade="80"/>
        <w:sz w:val="18"/>
        <w:szCs w:val="18"/>
      </w:rPr>
      <w:fldChar w:fldCharType="separate"/>
    </w:r>
    <w:r w:rsidR="00126641">
      <w:rPr>
        <w:rStyle w:val="PageNumber"/>
        <w:noProof/>
        <w:color w:val="808080" w:themeColor="background1" w:themeShade="80"/>
        <w:sz w:val="18"/>
        <w:szCs w:val="18"/>
      </w:rPr>
      <w:t>2</w:t>
    </w:r>
    <w:r w:rsidRPr="007E0002">
      <w:rPr>
        <w:rStyle w:val="PageNumber"/>
        <w:color w:val="808080" w:themeColor="background1" w:themeShade="80"/>
        <w:sz w:val="18"/>
        <w:szCs w:val="18"/>
      </w:rPr>
      <w:fldChar w:fldCharType="end"/>
    </w:r>
    <w:r w:rsidR="00323882" w:rsidRPr="007E0002">
      <w:rPr>
        <w:rStyle w:val="PageNumber"/>
        <w:color w:val="808080" w:themeColor="background1" w:themeShade="80"/>
        <w:sz w:val="18"/>
        <w:szCs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187" w:rsidRDefault="00292187">
      <w:r>
        <w:separator/>
      </w:r>
    </w:p>
  </w:footnote>
  <w:footnote w:type="continuationSeparator" w:id="0">
    <w:p w:rsidR="00292187" w:rsidRDefault="002921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882" w:rsidRPr="00EA6A70" w:rsidRDefault="00323882" w:rsidP="00EA6A70">
    <w:pPr>
      <w:pStyle w:val="Header"/>
    </w:pPr>
    <w:r>
      <w:rPr>
        <w:noProof/>
      </w:rPr>
      <w:drawing>
        <wp:anchor distT="0" distB="0" distL="114300" distR="114300" simplePos="0" relativeHeight="251661824" behindDoc="1" locked="0" layoutInCell="1" allowOverlap="1">
          <wp:simplePos x="0" y="0"/>
          <wp:positionH relativeFrom="column">
            <wp:posOffset>-931350</wp:posOffset>
          </wp:positionH>
          <wp:positionV relativeFrom="paragraph">
            <wp:posOffset>-457200</wp:posOffset>
          </wp:positionV>
          <wp:extent cx="7820695" cy="1202400"/>
          <wp:effectExtent l="19050" t="0" r="8855" b="0"/>
          <wp:wrapNone/>
          <wp:docPr id="64" name="Picture 63" descr="WM Header-small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M Header-small_V2.jpg"/>
                  <pic:cNvPicPr/>
                </pic:nvPicPr>
                <pic:blipFill>
                  <a:blip r:embed="rId1"/>
                  <a:stretch>
                    <a:fillRect/>
                  </a:stretch>
                </pic:blipFill>
                <pic:spPr>
                  <a:xfrm>
                    <a:off x="0" y="0"/>
                    <a:ext cx="7820695" cy="120240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882" w:rsidRDefault="00323882" w:rsidP="00904A8C">
    <w:pPr>
      <w:pStyle w:val="Header"/>
      <w:tabs>
        <w:tab w:val="clear" w:pos="4320"/>
        <w:tab w:val="clear" w:pos="8640"/>
        <w:tab w:val="right" w:pos="9360"/>
      </w:tabs>
      <w:spacing w:after="1080"/>
    </w:pPr>
    <w:r>
      <w:rPr>
        <w:noProof/>
      </w:rPr>
      <w:drawing>
        <wp:anchor distT="0" distB="0" distL="114300" distR="114300" simplePos="0" relativeHeight="251663872" behindDoc="1" locked="0" layoutInCell="1" allowOverlap="1">
          <wp:simplePos x="0" y="0"/>
          <wp:positionH relativeFrom="column">
            <wp:posOffset>-918878</wp:posOffset>
          </wp:positionH>
          <wp:positionV relativeFrom="paragraph">
            <wp:posOffset>-457200</wp:posOffset>
          </wp:positionV>
          <wp:extent cx="7820214" cy="1197610"/>
          <wp:effectExtent l="19050" t="0" r="9336" b="0"/>
          <wp:wrapNone/>
          <wp:docPr id="65" name="Picture 63" descr="WM Header-small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M Header-small_V2.jpg"/>
                  <pic:cNvPicPr/>
                </pic:nvPicPr>
                <pic:blipFill>
                  <a:blip r:embed="rId1"/>
                  <a:stretch>
                    <a:fillRect/>
                  </a:stretch>
                </pic:blipFill>
                <pic:spPr>
                  <a:xfrm>
                    <a:off x="0" y="0"/>
                    <a:ext cx="7820214" cy="1197610"/>
                  </a:xfrm>
                  <a:prstGeom prst="rect">
                    <a:avLst/>
                  </a:prstGeom>
                </pic:spPr>
              </pic:pic>
            </a:graphicData>
          </a:graphic>
        </wp:anchor>
      </w:drawing>
    </w:r>
    <w:r>
      <w:rPr>
        <w:noProof/>
      </w:rPr>
      <w:drawing>
        <wp:inline distT="0" distB="0" distL="0" distR="0">
          <wp:extent cx="1464945" cy="235447"/>
          <wp:effectExtent l="19050" t="0" r="1905" b="0"/>
          <wp:docPr id="66" name="Picture 17" descr="V:\Designer Resources\MS Resources\Colors and Logos\Logos\All Things WINDOWS\Win7 Logo\Logos and Logotypes\Horizontal\Windows7_h_rgb_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Designer Resources\MS Resources\Colors and Logos\Logos\All Things WINDOWS\Win7 Logo\Logos and Logotypes\Horizontal\Windows7_h_rgb_r.png"/>
                  <pic:cNvPicPr>
                    <a:picLocks noChangeAspect="1" noChangeArrowheads="1"/>
                  </pic:cNvPicPr>
                </pic:nvPicPr>
                <pic:blipFill>
                  <a:blip r:embed="rId2"/>
                  <a:srcRect/>
                  <a:stretch>
                    <a:fillRect/>
                  </a:stretch>
                </pic:blipFill>
                <pic:spPr bwMode="auto">
                  <a:xfrm>
                    <a:off x="0" y="0"/>
                    <a:ext cx="1489655" cy="239418"/>
                  </a:xfrm>
                  <a:prstGeom prst="rect">
                    <a:avLst/>
                  </a:prstGeom>
                  <a:noFill/>
                  <a:ln w="9525">
                    <a:noFill/>
                    <a:miter lim="800000"/>
                    <a:headEnd/>
                    <a:tailEnd/>
                  </a:ln>
                </pic:spPr>
              </pic:pic>
            </a:graphicData>
          </a:graphic>
        </wp:inline>
      </w:drawing>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09A1"/>
    <w:multiLevelType w:val="multilevel"/>
    <w:tmpl w:val="2416A5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10D26896"/>
    <w:multiLevelType w:val="hybridMultilevel"/>
    <w:tmpl w:val="061842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BC917F3"/>
    <w:multiLevelType w:val="hybridMultilevel"/>
    <w:tmpl w:val="FD86C09C"/>
    <w:lvl w:ilvl="0" w:tplc="57FCC90A">
      <w:start w:val="1"/>
      <w:numFmt w:val="bullet"/>
      <w:pStyle w:val="ListParagraph"/>
      <w:lvlText w:val=""/>
      <w:lvlJc w:val="left"/>
      <w:pPr>
        <w:ind w:left="720" w:hanging="360"/>
      </w:pPr>
      <w:rPr>
        <w:rFonts w:ascii="Symbol" w:hAnsi="Symbol" w:hint="default"/>
        <w:color w:val="61A83D" w:themeColor="accent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removePersonalInformation/>
  <w:removeDateAndTime/>
  <w:stylePaneFormatFilter w:val="3F01"/>
  <w:defaultTabStop w:val="720"/>
  <w:drawingGridHorizontalSpacing w:val="9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0E4DA1"/>
    <w:rsid w:val="0000226A"/>
    <w:rsid w:val="00005A56"/>
    <w:rsid w:val="00011B6A"/>
    <w:rsid w:val="0001201F"/>
    <w:rsid w:val="0002458E"/>
    <w:rsid w:val="00041AEB"/>
    <w:rsid w:val="000442AC"/>
    <w:rsid w:val="00047026"/>
    <w:rsid w:val="00050C70"/>
    <w:rsid w:val="00055F4E"/>
    <w:rsid w:val="00062671"/>
    <w:rsid w:val="00064FF0"/>
    <w:rsid w:val="00067F6B"/>
    <w:rsid w:val="00070071"/>
    <w:rsid w:val="00070C18"/>
    <w:rsid w:val="000712D3"/>
    <w:rsid w:val="000927A2"/>
    <w:rsid w:val="000A2874"/>
    <w:rsid w:val="000A5932"/>
    <w:rsid w:val="000B275C"/>
    <w:rsid w:val="000B6DB1"/>
    <w:rsid w:val="000D4E3C"/>
    <w:rsid w:val="000D67B3"/>
    <w:rsid w:val="000E4DA1"/>
    <w:rsid w:val="000E6ACB"/>
    <w:rsid w:val="000E7EB5"/>
    <w:rsid w:val="000F6C32"/>
    <w:rsid w:val="0010153C"/>
    <w:rsid w:val="00106AA6"/>
    <w:rsid w:val="00113AC3"/>
    <w:rsid w:val="00126641"/>
    <w:rsid w:val="00131F7E"/>
    <w:rsid w:val="00134728"/>
    <w:rsid w:val="00134FC1"/>
    <w:rsid w:val="001365A8"/>
    <w:rsid w:val="0013743E"/>
    <w:rsid w:val="00140142"/>
    <w:rsid w:val="001405A7"/>
    <w:rsid w:val="00140A1C"/>
    <w:rsid w:val="00144CD6"/>
    <w:rsid w:val="0014640C"/>
    <w:rsid w:val="001515CD"/>
    <w:rsid w:val="00153C4E"/>
    <w:rsid w:val="001737B8"/>
    <w:rsid w:val="00173DA9"/>
    <w:rsid w:val="00180C31"/>
    <w:rsid w:val="00182DC2"/>
    <w:rsid w:val="00183BBB"/>
    <w:rsid w:val="00193BA6"/>
    <w:rsid w:val="00194A26"/>
    <w:rsid w:val="001A1EB6"/>
    <w:rsid w:val="001A360E"/>
    <w:rsid w:val="001A4B54"/>
    <w:rsid w:val="001B1064"/>
    <w:rsid w:val="001C0AA2"/>
    <w:rsid w:val="001C2891"/>
    <w:rsid w:val="001C2B57"/>
    <w:rsid w:val="001D45A2"/>
    <w:rsid w:val="001E28EB"/>
    <w:rsid w:val="001E6CAC"/>
    <w:rsid w:val="001F0A40"/>
    <w:rsid w:val="001F215E"/>
    <w:rsid w:val="001F30C9"/>
    <w:rsid w:val="002015CD"/>
    <w:rsid w:val="00201D87"/>
    <w:rsid w:val="00222349"/>
    <w:rsid w:val="0022309F"/>
    <w:rsid w:val="00240A0C"/>
    <w:rsid w:val="00242B8A"/>
    <w:rsid w:val="00243FF2"/>
    <w:rsid w:val="002468EE"/>
    <w:rsid w:val="00246F67"/>
    <w:rsid w:val="0024781D"/>
    <w:rsid w:val="0025067B"/>
    <w:rsid w:val="002562D7"/>
    <w:rsid w:val="00274B9A"/>
    <w:rsid w:val="00280B59"/>
    <w:rsid w:val="002842A8"/>
    <w:rsid w:val="00284EED"/>
    <w:rsid w:val="002878DE"/>
    <w:rsid w:val="002916F3"/>
    <w:rsid w:val="00292187"/>
    <w:rsid w:val="00292AEC"/>
    <w:rsid w:val="002B32FE"/>
    <w:rsid w:val="002B4C9C"/>
    <w:rsid w:val="002B76C3"/>
    <w:rsid w:val="002C1730"/>
    <w:rsid w:val="002D2A4C"/>
    <w:rsid w:val="002D44B9"/>
    <w:rsid w:val="002D6F94"/>
    <w:rsid w:val="002D7BD9"/>
    <w:rsid w:val="002E759A"/>
    <w:rsid w:val="002E7D7E"/>
    <w:rsid w:val="002F4D60"/>
    <w:rsid w:val="00304A4C"/>
    <w:rsid w:val="00307B28"/>
    <w:rsid w:val="00307CA8"/>
    <w:rsid w:val="00314FB7"/>
    <w:rsid w:val="00315D42"/>
    <w:rsid w:val="00315EB1"/>
    <w:rsid w:val="0031605B"/>
    <w:rsid w:val="00316EB4"/>
    <w:rsid w:val="0032284B"/>
    <w:rsid w:val="00323882"/>
    <w:rsid w:val="0033018C"/>
    <w:rsid w:val="0033091C"/>
    <w:rsid w:val="003469E4"/>
    <w:rsid w:val="00351DF6"/>
    <w:rsid w:val="00354813"/>
    <w:rsid w:val="00354D80"/>
    <w:rsid w:val="00357A3E"/>
    <w:rsid w:val="00361CE3"/>
    <w:rsid w:val="0036552B"/>
    <w:rsid w:val="0037343F"/>
    <w:rsid w:val="0037734B"/>
    <w:rsid w:val="00382731"/>
    <w:rsid w:val="003828A4"/>
    <w:rsid w:val="00390C26"/>
    <w:rsid w:val="003A0E12"/>
    <w:rsid w:val="003A4834"/>
    <w:rsid w:val="003C4AA9"/>
    <w:rsid w:val="003C756C"/>
    <w:rsid w:val="003D5DAB"/>
    <w:rsid w:val="003D7584"/>
    <w:rsid w:val="003E2AF6"/>
    <w:rsid w:val="003E62F8"/>
    <w:rsid w:val="003E6927"/>
    <w:rsid w:val="003F4655"/>
    <w:rsid w:val="003F5936"/>
    <w:rsid w:val="00402A5C"/>
    <w:rsid w:val="0040729C"/>
    <w:rsid w:val="00407A5A"/>
    <w:rsid w:val="00414AE8"/>
    <w:rsid w:val="00421A0A"/>
    <w:rsid w:val="00422DD0"/>
    <w:rsid w:val="004256EE"/>
    <w:rsid w:val="00435336"/>
    <w:rsid w:val="00436289"/>
    <w:rsid w:val="004445EA"/>
    <w:rsid w:val="00454DDD"/>
    <w:rsid w:val="00471AD9"/>
    <w:rsid w:val="004772D2"/>
    <w:rsid w:val="00481B86"/>
    <w:rsid w:val="00491775"/>
    <w:rsid w:val="00494DDC"/>
    <w:rsid w:val="004A049A"/>
    <w:rsid w:val="004A2256"/>
    <w:rsid w:val="004A3EC7"/>
    <w:rsid w:val="004A5604"/>
    <w:rsid w:val="004B4BA0"/>
    <w:rsid w:val="004B64F3"/>
    <w:rsid w:val="004B791E"/>
    <w:rsid w:val="004C1AB3"/>
    <w:rsid w:val="004D1ACC"/>
    <w:rsid w:val="004D1E02"/>
    <w:rsid w:val="004D6512"/>
    <w:rsid w:val="004E37F4"/>
    <w:rsid w:val="004E4DB0"/>
    <w:rsid w:val="004E7065"/>
    <w:rsid w:val="004F1BBD"/>
    <w:rsid w:val="004F78A4"/>
    <w:rsid w:val="005069C9"/>
    <w:rsid w:val="00511330"/>
    <w:rsid w:val="00522012"/>
    <w:rsid w:val="00524B7E"/>
    <w:rsid w:val="00544158"/>
    <w:rsid w:val="00546612"/>
    <w:rsid w:val="005522EC"/>
    <w:rsid w:val="00553F30"/>
    <w:rsid w:val="00556C04"/>
    <w:rsid w:val="00557B10"/>
    <w:rsid w:val="00557FE7"/>
    <w:rsid w:val="0056044C"/>
    <w:rsid w:val="00566F1F"/>
    <w:rsid w:val="00572FB1"/>
    <w:rsid w:val="00573496"/>
    <w:rsid w:val="005754F4"/>
    <w:rsid w:val="00576825"/>
    <w:rsid w:val="0058026C"/>
    <w:rsid w:val="00587C22"/>
    <w:rsid w:val="00591182"/>
    <w:rsid w:val="005926EC"/>
    <w:rsid w:val="00593476"/>
    <w:rsid w:val="005B0724"/>
    <w:rsid w:val="005B33B4"/>
    <w:rsid w:val="005B69FB"/>
    <w:rsid w:val="005B7017"/>
    <w:rsid w:val="005C16FD"/>
    <w:rsid w:val="005D3A94"/>
    <w:rsid w:val="005E752E"/>
    <w:rsid w:val="005E76D4"/>
    <w:rsid w:val="005F0ECD"/>
    <w:rsid w:val="005F4EAE"/>
    <w:rsid w:val="005F6BCB"/>
    <w:rsid w:val="006003B6"/>
    <w:rsid w:val="00602087"/>
    <w:rsid w:val="00602323"/>
    <w:rsid w:val="00602C9F"/>
    <w:rsid w:val="00605FAB"/>
    <w:rsid w:val="00606611"/>
    <w:rsid w:val="0061139B"/>
    <w:rsid w:val="00627293"/>
    <w:rsid w:val="00635333"/>
    <w:rsid w:val="00637D58"/>
    <w:rsid w:val="00660405"/>
    <w:rsid w:val="0066593C"/>
    <w:rsid w:val="00665C0F"/>
    <w:rsid w:val="006713A8"/>
    <w:rsid w:val="00674A1F"/>
    <w:rsid w:val="006A33AF"/>
    <w:rsid w:val="006B2837"/>
    <w:rsid w:val="006B70EA"/>
    <w:rsid w:val="006D3E12"/>
    <w:rsid w:val="006E1B7B"/>
    <w:rsid w:val="006E5CD6"/>
    <w:rsid w:val="006E73C5"/>
    <w:rsid w:val="006F2020"/>
    <w:rsid w:val="006F33A9"/>
    <w:rsid w:val="006F4222"/>
    <w:rsid w:val="006F611A"/>
    <w:rsid w:val="007010E7"/>
    <w:rsid w:val="00704456"/>
    <w:rsid w:val="0070503A"/>
    <w:rsid w:val="00712BD2"/>
    <w:rsid w:val="007210C6"/>
    <w:rsid w:val="00735108"/>
    <w:rsid w:val="00737BC7"/>
    <w:rsid w:val="00741D1E"/>
    <w:rsid w:val="0074229E"/>
    <w:rsid w:val="007473E1"/>
    <w:rsid w:val="00751910"/>
    <w:rsid w:val="00752FC7"/>
    <w:rsid w:val="007634DB"/>
    <w:rsid w:val="00764AC4"/>
    <w:rsid w:val="0077175C"/>
    <w:rsid w:val="00772010"/>
    <w:rsid w:val="00773CED"/>
    <w:rsid w:val="00783C28"/>
    <w:rsid w:val="007867AD"/>
    <w:rsid w:val="00792BD0"/>
    <w:rsid w:val="007950AF"/>
    <w:rsid w:val="00796D31"/>
    <w:rsid w:val="007A2DBE"/>
    <w:rsid w:val="007A36E3"/>
    <w:rsid w:val="007A4132"/>
    <w:rsid w:val="007A4A4A"/>
    <w:rsid w:val="007B5A25"/>
    <w:rsid w:val="007C0FFF"/>
    <w:rsid w:val="007C10B7"/>
    <w:rsid w:val="007C148E"/>
    <w:rsid w:val="007C576C"/>
    <w:rsid w:val="007D01ED"/>
    <w:rsid w:val="007D0379"/>
    <w:rsid w:val="007D3C03"/>
    <w:rsid w:val="007D529D"/>
    <w:rsid w:val="007E0002"/>
    <w:rsid w:val="007E5057"/>
    <w:rsid w:val="007F1D47"/>
    <w:rsid w:val="007F3FFB"/>
    <w:rsid w:val="007F613E"/>
    <w:rsid w:val="00804650"/>
    <w:rsid w:val="00805A5C"/>
    <w:rsid w:val="00810E0C"/>
    <w:rsid w:val="00813F24"/>
    <w:rsid w:val="00816399"/>
    <w:rsid w:val="00830219"/>
    <w:rsid w:val="0083381C"/>
    <w:rsid w:val="00834487"/>
    <w:rsid w:val="008521A5"/>
    <w:rsid w:val="00870D48"/>
    <w:rsid w:val="008839EE"/>
    <w:rsid w:val="0089513B"/>
    <w:rsid w:val="00897AD5"/>
    <w:rsid w:val="008A067B"/>
    <w:rsid w:val="008B09ED"/>
    <w:rsid w:val="008B1935"/>
    <w:rsid w:val="008B48D0"/>
    <w:rsid w:val="008B5045"/>
    <w:rsid w:val="008B5AB4"/>
    <w:rsid w:val="008C0322"/>
    <w:rsid w:val="008C686A"/>
    <w:rsid w:val="008D2AD4"/>
    <w:rsid w:val="008D4060"/>
    <w:rsid w:val="008D7467"/>
    <w:rsid w:val="008E0E30"/>
    <w:rsid w:val="008E6037"/>
    <w:rsid w:val="008E700A"/>
    <w:rsid w:val="008F3899"/>
    <w:rsid w:val="008F5ADC"/>
    <w:rsid w:val="009006CB"/>
    <w:rsid w:val="00904A8C"/>
    <w:rsid w:val="00911EB7"/>
    <w:rsid w:val="00923C55"/>
    <w:rsid w:val="009307E0"/>
    <w:rsid w:val="0093105A"/>
    <w:rsid w:val="00933A1A"/>
    <w:rsid w:val="00933BA4"/>
    <w:rsid w:val="00937CDA"/>
    <w:rsid w:val="00942686"/>
    <w:rsid w:val="009438AA"/>
    <w:rsid w:val="00953C4F"/>
    <w:rsid w:val="00957F10"/>
    <w:rsid w:val="00962DDC"/>
    <w:rsid w:val="00965690"/>
    <w:rsid w:val="00970E3D"/>
    <w:rsid w:val="009731CD"/>
    <w:rsid w:val="00977723"/>
    <w:rsid w:val="00980E92"/>
    <w:rsid w:val="009853B1"/>
    <w:rsid w:val="00987F85"/>
    <w:rsid w:val="00997431"/>
    <w:rsid w:val="009A7C52"/>
    <w:rsid w:val="009B3A66"/>
    <w:rsid w:val="009B69D6"/>
    <w:rsid w:val="009C1DA4"/>
    <w:rsid w:val="009C2F3D"/>
    <w:rsid w:val="009C7DAB"/>
    <w:rsid w:val="009D1F1C"/>
    <w:rsid w:val="009D3B78"/>
    <w:rsid w:val="009D4A93"/>
    <w:rsid w:val="009E0FC3"/>
    <w:rsid w:val="009F17CC"/>
    <w:rsid w:val="009F1E12"/>
    <w:rsid w:val="009F580F"/>
    <w:rsid w:val="00A000FA"/>
    <w:rsid w:val="00A031B0"/>
    <w:rsid w:val="00A132E6"/>
    <w:rsid w:val="00A13422"/>
    <w:rsid w:val="00A148AE"/>
    <w:rsid w:val="00A26300"/>
    <w:rsid w:val="00A27083"/>
    <w:rsid w:val="00A3611D"/>
    <w:rsid w:val="00A37142"/>
    <w:rsid w:val="00A415F0"/>
    <w:rsid w:val="00A45F8A"/>
    <w:rsid w:val="00A474A4"/>
    <w:rsid w:val="00A54019"/>
    <w:rsid w:val="00A60707"/>
    <w:rsid w:val="00A628FF"/>
    <w:rsid w:val="00A6371D"/>
    <w:rsid w:val="00A63EBA"/>
    <w:rsid w:val="00A715F0"/>
    <w:rsid w:val="00A7360E"/>
    <w:rsid w:val="00A81D41"/>
    <w:rsid w:val="00A82577"/>
    <w:rsid w:val="00A82A95"/>
    <w:rsid w:val="00AA6EAF"/>
    <w:rsid w:val="00AB26B1"/>
    <w:rsid w:val="00AB28C9"/>
    <w:rsid w:val="00AB2F10"/>
    <w:rsid w:val="00AB3145"/>
    <w:rsid w:val="00AB3ECD"/>
    <w:rsid w:val="00AB4B88"/>
    <w:rsid w:val="00AC3CCE"/>
    <w:rsid w:val="00AD0335"/>
    <w:rsid w:val="00AD3F08"/>
    <w:rsid w:val="00AE0DDB"/>
    <w:rsid w:val="00AE41A3"/>
    <w:rsid w:val="00B120FF"/>
    <w:rsid w:val="00B27A79"/>
    <w:rsid w:val="00B32A25"/>
    <w:rsid w:val="00B40643"/>
    <w:rsid w:val="00B40BE2"/>
    <w:rsid w:val="00B41BD3"/>
    <w:rsid w:val="00B47C79"/>
    <w:rsid w:val="00B575B4"/>
    <w:rsid w:val="00B60129"/>
    <w:rsid w:val="00B61ACF"/>
    <w:rsid w:val="00B7777E"/>
    <w:rsid w:val="00B826D2"/>
    <w:rsid w:val="00B937DB"/>
    <w:rsid w:val="00BA1088"/>
    <w:rsid w:val="00BA3817"/>
    <w:rsid w:val="00BA3CE4"/>
    <w:rsid w:val="00BA4137"/>
    <w:rsid w:val="00BC0B1C"/>
    <w:rsid w:val="00BC47E1"/>
    <w:rsid w:val="00BD13D4"/>
    <w:rsid w:val="00BE077D"/>
    <w:rsid w:val="00BE3989"/>
    <w:rsid w:val="00BE6555"/>
    <w:rsid w:val="00C01C0F"/>
    <w:rsid w:val="00C0248E"/>
    <w:rsid w:val="00C02E3D"/>
    <w:rsid w:val="00C11902"/>
    <w:rsid w:val="00C148A2"/>
    <w:rsid w:val="00C155A3"/>
    <w:rsid w:val="00C23D77"/>
    <w:rsid w:val="00C27943"/>
    <w:rsid w:val="00C35DF9"/>
    <w:rsid w:val="00C4580C"/>
    <w:rsid w:val="00C505C7"/>
    <w:rsid w:val="00C5230E"/>
    <w:rsid w:val="00C61117"/>
    <w:rsid w:val="00C61880"/>
    <w:rsid w:val="00C64503"/>
    <w:rsid w:val="00C66501"/>
    <w:rsid w:val="00C741FB"/>
    <w:rsid w:val="00C80844"/>
    <w:rsid w:val="00C838C3"/>
    <w:rsid w:val="00C872C3"/>
    <w:rsid w:val="00C92D4A"/>
    <w:rsid w:val="00C93186"/>
    <w:rsid w:val="00C94435"/>
    <w:rsid w:val="00C955F8"/>
    <w:rsid w:val="00CA1AFC"/>
    <w:rsid w:val="00CA4CE1"/>
    <w:rsid w:val="00CB1813"/>
    <w:rsid w:val="00CB71EF"/>
    <w:rsid w:val="00CC0DF1"/>
    <w:rsid w:val="00CC124D"/>
    <w:rsid w:val="00CC29E5"/>
    <w:rsid w:val="00CC508D"/>
    <w:rsid w:val="00CC6D90"/>
    <w:rsid w:val="00CD0C02"/>
    <w:rsid w:val="00CD715A"/>
    <w:rsid w:val="00CF2FD8"/>
    <w:rsid w:val="00D00377"/>
    <w:rsid w:val="00D0389D"/>
    <w:rsid w:val="00D056AF"/>
    <w:rsid w:val="00D076AE"/>
    <w:rsid w:val="00D121B4"/>
    <w:rsid w:val="00D31B7C"/>
    <w:rsid w:val="00D418B0"/>
    <w:rsid w:val="00D4710E"/>
    <w:rsid w:val="00D52390"/>
    <w:rsid w:val="00D64646"/>
    <w:rsid w:val="00D6714C"/>
    <w:rsid w:val="00D6790F"/>
    <w:rsid w:val="00D70ABC"/>
    <w:rsid w:val="00D73F5B"/>
    <w:rsid w:val="00D76324"/>
    <w:rsid w:val="00D83C2D"/>
    <w:rsid w:val="00D877F9"/>
    <w:rsid w:val="00D96527"/>
    <w:rsid w:val="00D969AE"/>
    <w:rsid w:val="00DA391D"/>
    <w:rsid w:val="00DA3E85"/>
    <w:rsid w:val="00DA5C35"/>
    <w:rsid w:val="00DA5FBD"/>
    <w:rsid w:val="00DA7219"/>
    <w:rsid w:val="00DB0D4A"/>
    <w:rsid w:val="00DB4634"/>
    <w:rsid w:val="00DB5080"/>
    <w:rsid w:val="00DB68D2"/>
    <w:rsid w:val="00DB7B07"/>
    <w:rsid w:val="00DC20A1"/>
    <w:rsid w:val="00DC3031"/>
    <w:rsid w:val="00DD5419"/>
    <w:rsid w:val="00DE6A76"/>
    <w:rsid w:val="00DF04BC"/>
    <w:rsid w:val="00E107D9"/>
    <w:rsid w:val="00E10944"/>
    <w:rsid w:val="00E11090"/>
    <w:rsid w:val="00E1660D"/>
    <w:rsid w:val="00E2043E"/>
    <w:rsid w:val="00E253CF"/>
    <w:rsid w:val="00E2635C"/>
    <w:rsid w:val="00E26B44"/>
    <w:rsid w:val="00E418B1"/>
    <w:rsid w:val="00E41C11"/>
    <w:rsid w:val="00E41F73"/>
    <w:rsid w:val="00E536F7"/>
    <w:rsid w:val="00E60D5A"/>
    <w:rsid w:val="00E70C0F"/>
    <w:rsid w:val="00E72B8E"/>
    <w:rsid w:val="00E864E4"/>
    <w:rsid w:val="00E932FB"/>
    <w:rsid w:val="00E95DC6"/>
    <w:rsid w:val="00EA2F33"/>
    <w:rsid w:val="00EA4333"/>
    <w:rsid w:val="00EA6A70"/>
    <w:rsid w:val="00EB26E5"/>
    <w:rsid w:val="00EB27E8"/>
    <w:rsid w:val="00EB41E9"/>
    <w:rsid w:val="00EB4C12"/>
    <w:rsid w:val="00EC3F24"/>
    <w:rsid w:val="00ED0000"/>
    <w:rsid w:val="00ED583B"/>
    <w:rsid w:val="00ED75B5"/>
    <w:rsid w:val="00EE637F"/>
    <w:rsid w:val="00EE7462"/>
    <w:rsid w:val="00EE7EEE"/>
    <w:rsid w:val="00F011A9"/>
    <w:rsid w:val="00F05185"/>
    <w:rsid w:val="00F07CD7"/>
    <w:rsid w:val="00F129C5"/>
    <w:rsid w:val="00F12B16"/>
    <w:rsid w:val="00F15A0A"/>
    <w:rsid w:val="00F343A1"/>
    <w:rsid w:val="00F3692C"/>
    <w:rsid w:val="00F405F5"/>
    <w:rsid w:val="00F437DA"/>
    <w:rsid w:val="00F541D1"/>
    <w:rsid w:val="00F552BF"/>
    <w:rsid w:val="00F6238E"/>
    <w:rsid w:val="00F64354"/>
    <w:rsid w:val="00F64693"/>
    <w:rsid w:val="00F70F18"/>
    <w:rsid w:val="00F7118B"/>
    <w:rsid w:val="00F84F0A"/>
    <w:rsid w:val="00F8647C"/>
    <w:rsid w:val="00F86A06"/>
    <w:rsid w:val="00F91DA5"/>
    <w:rsid w:val="00FA4BF9"/>
    <w:rsid w:val="00FB0DCE"/>
    <w:rsid w:val="00FC620A"/>
    <w:rsid w:val="00FD2D5B"/>
    <w:rsid w:val="00FD421A"/>
    <w:rsid w:val="00FE069C"/>
    <w:rsid w:val="00FE1965"/>
    <w:rsid w:val="00FE428C"/>
    <w:rsid w:val="00FE4537"/>
    <w:rsid w:val="00FF0A84"/>
    <w:rsid w:val="00FF1234"/>
    <w:rsid w:val="00FF36C3"/>
    <w:rsid w:val="00FF44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5FAB"/>
    <w:pPr>
      <w:spacing w:before="60" w:after="120"/>
    </w:pPr>
    <w:rPr>
      <w:rFonts w:asciiTheme="minorHAnsi" w:hAnsiTheme="minorHAnsi"/>
      <w:sz w:val="18"/>
      <w:szCs w:val="24"/>
    </w:rPr>
  </w:style>
  <w:style w:type="paragraph" w:styleId="Heading1">
    <w:name w:val="heading 1"/>
    <w:basedOn w:val="Normal"/>
    <w:next w:val="Normal"/>
    <w:link w:val="Heading1Char"/>
    <w:uiPriority w:val="9"/>
    <w:qFormat/>
    <w:rsid w:val="008B5045"/>
    <w:pPr>
      <w:keepNext/>
      <w:spacing w:before="480" w:after="240"/>
      <w:outlineLvl w:val="0"/>
    </w:pPr>
    <w:rPr>
      <w:rFonts w:ascii="Calibri" w:hAnsi="Calibri" w:cs="Arial"/>
      <w:bCs/>
      <w:color w:val="61A83D" w:themeColor="accent4"/>
      <w:kern w:val="32"/>
      <w:sz w:val="32"/>
      <w:szCs w:val="32"/>
    </w:rPr>
  </w:style>
  <w:style w:type="paragraph" w:styleId="Heading2">
    <w:name w:val="heading 2"/>
    <w:basedOn w:val="Normal"/>
    <w:next w:val="Normal"/>
    <w:link w:val="Heading2Char"/>
    <w:uiPriority w:val="9"/>
    <w:qFormat/>
    <w:rsid w:val="009D4A93"/>
    <w:pPr>
      <w:keepNext/>
      <w:spacing w:before="360" w:after="240" w:line="216" w:lineRule="auto"/>
      <w:outlineLvl w:val="1"/>
    </w:pPr>
    <w:rPr>
      <w:rFonts w:cs="Arial"/>
      <w:b/>
      <w:bCs/>
      <w:iCs/>
      <w:sz w:val="24"/>
      <w:szCs w:val="28"/>
    </w:rPr>
  </w:style>
  <w:style w:type="paragraph" w:styleId="Heading3">
    <w:name w:val="heading 3"/>
    <w:basedOn w:val="Normal"/>
    <w:next w:val="Normal"/>
    <w:link w:val="Heading3Char"/>
    <w:uiPriority w:val="9"/>
    <w:qFormat/>
    <w:rsid w:val="0025067B"/>
    <w:pPr>
      <w:keepNext/>
      <w:spacing w:before="240" w:after="60"/>
      <w:outlineLvl w:val="2"/>
    </w:pPr>
    <w:rPr>
      <w:rFonts w:cs="Arial"/>
      <w:b/>
      <w:bCs/>
      <w:color w:val="4F81BD" w:themeColor="accent1"/>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Headline">
    <w:name w:val="TOC Headline"/>
    <w:basedOn w:val="Normal"/>
    <w:rsid w:val="00805A5C"/>
    <w:rPr>
      <w:caps/>
      <w:color w:val="4596D2"/>
      <w:sz w:val="32"/>
    </w:rPr>
  </w:style>
  <w:style w:type="character" w:styleId="PageNumber">
    <w:name w:val="page number"/>
    <w:basedOn w:val="DefaultParagraphFont"/>
    <w:rsid w:val="00DB0D4A"/>
    <w:rPr>
      <w:rFonts w:ascii="Arial" w:hAnsi="Arial"/>
      <w:sz w:val="16"/>
    </w:rPr>
  </w:style>
  <w:style w:type="paragraph" w:styleId="Header">
    <w:name w:val="header"/>
    <w:basedOn w:val="Normal"/>
    <w:link w:val="HeaderChar"/>
    <w:uiPriority w:val="99"/>
    <w:rsid w:val="001405A7"/>
    <w:pPr>
      <w:tabs>
        <w:tab w:val="center" w:pos="4320"/>
        <w:tab w:val="right" w:pos="8640"/>
      </w:tabs>
    </w:pPr>
  </w:style>
  <w:style w:type="paragraph" w:styleId="Footer">
    <w:name w:val="footer"/>
    <w:basedOn w:val="Normal"/>
    <w:link w:val="FooterChar"/>
    <w:uiPriority w:val="99"/>
    <w:rsid w:val="001405A7"/>
    <w:pPr>
      <w:tabs>
        <w:tab w:val="center" w:pos="4320"/>
        <w:tab w:val="right" w:pos="8640"/>
      </w:tabs>
    </w:pPr>
    <w:rPr>
      <w:sz w:val="16"/>
    </w:rPr>
  </w:style>
  <w:style w:type="character" w:styleId="Hyperlink">
    <w:name w:val="Hyperlink"/>
    <w:basedOn w:val="DefaultParagraphFont"/>
    <w:uiPriority w:val="99"/>
    <w:rsid w:val="008B5045"/>
    <w:rPr>
      <w:color w:val="487D2D" w:themeColor="accent4" w:themeShade="BF"/>
      <w:u w:val="single"/>
    </w:rPr>
  </w:style>
  <w:style w:type="paragraph" w:styleId="TOC1">
    <w:name w:val="toc 1"/>
    <w:basedOn w:val="Normal"/>
    <w:next w:val="Normal"/>
    <w:autoRedefine/>
    <w:uiPriority w:val="39"/>
    <w:rsid w:val="001405A7"/>
    <w:pPr>
      <w:tabs>
        <w:tab w:val="right" w:leader="dot" w:pos="9000"/>
      </w:tabs>
    </w:pPr>
    <w:rPr>
      <w:rFonts w:cs="Arial"/>
      <w:b/>
      <w:bCs/>
      <w:noProof/>
      <w:color w:val="000000"/>
      <w:szCs w:val="22"/>
    </w:rPr>
  </w:style>
  <w:style w:type="paragraph" w:styleId="TOC2">
    <w:name w:val="toc 2"/>
    <w:basedOn w:val="Normal"/>
    <w:next w:val="Normal"/>
    <w:autoRedefine/>
    <w:uiPriority w:val="39"/>
    <w:rsid w:val="007E0002"/>
    <w:pPr>
      <w:tabs>
        <w:tab w:val="right" w:leader="dot" w:pos="9000"/>
      </w:tabs>
      <w:ind w:left="180"/>
    </w:pPr>
    <w:rPr>
      <w:rFonts w:cs="Arial"/>
      <w:noProof/>
      <w:szCs w:val="22"/>
    </w:rPr>
  </w:style>
  <w:style w:type="paragraph" w:styleId="TOC3">
    <w:name w:val="toc 3"/>
    <w:basedOn w:val="Normal"/>
    <w:next w:val="Normal"/>
    <w:autoRedefine/>
    <w:uiPriority w:val="39"/>
    <w:rsid w:val="007E0002"/>
    <w:pPr>
      <w:tabs>
        <w:tab w:val="right" w:leader="dot" w:pos="9000"/>
      </w:tabs>
      <w:ind w:left="360"/>
    </w:pPr>
    <w:rPr>
      <w:iCs/>
      <w:noProof/>
      <w:szCs w:val="20"/>
    </w:rPr>
  </w:style>
  <w:style w:type="paragraph" w:styleId="BalloonText">
    <w:name w:val="Balloon Text"/>
    <w:basedOn w:val="Normal"/>
    <w:link w:val="BalloonTextChar"/>
    <w:uiPriority w:val="99"/>
    <w:semiHidden/>
    <w:rsid w:val="00EB4C12"/>
    <w:rPr>
      <w:rFonts w:ascii="Tahoma" w:hAnsi="Tahoma" w:cs="Tahoma"/>
      <w:sz w:val="16"/>
      <w:szCs w:val="16"/>
    </w:rPr>
  </w:style>
  <w:style w:type="paragraph" w:customStyle="1" w:styleId="ProgramName">
    <w:name w:val="Program Name"/>
    <w:basedOn w:val="Normal"/>
    <w:rsid w:val="007867AD"/>
    <w:pPr>
      <w:ind w:right="-1800"/>
    </w:pPr>
    <w:rPr>
      <w:color w:val="FFFFFF" w:themeColor="background1"/>
      <w:sz w:val="72"/>
      <w:szCs w:val="20"/>
    </w:rPr>
  </w:style>
  <w:style w:type="character" w:customStyle="1" w:styleId="Heading2Char">
    <w:name w:val="Heading 2 Char"/>
    <w:basedOn w:val="DefaultParagraphFont"/>
    <w:link w:val="Heading2"/>
    <w:uiPriority w:val="9"/>
    <w:rsid w:val="009D4A93"/>
    <w:rPr>
      <w:rFonts w:asciiTheme="minorHAnsi" w:hAnsiTheme="minorHAnsi" w:cs="Arial"/>
      <w:b/>
      <w:bCs/>
      <w:iCs/>
      <w:sz w:val="24"/>
      <w:szCs w:val="28"/>
    </w:rPr>
  </w:style>
  <w:style w:type="character" w:styleId="FollowedHyperlink">
    <w:name w:val="FollowedHyperlink"/>
    <w:basedOn w:val="DefaultParagraphFont"/>
    <w:uiPriority w:val="99"/>
    <w:rsid w:val="00557FE7"/>
    <w:rPr>
      <w:color w:val="800080" w:themeColor="followedHyperlink"/>
      <w:u w:val="single"/>
    </w:rPr>
  </w:style>
  <w:style w:type="paragraph" w:styleId="ListParagraph">
    <w:name w:val="List Paragraph"/>
    <w:basedOn w:val="Normal"/>
    <w:uiPriority w:val="34"/>
    <w:qFormat/>
    <w:rsid w:val="007A2DBE"/>
    <w:pPr>
      <w:numPr>
        <w:numId w:val="1"/>
      </w:numPr>
      <w:spacing w:after="200" w:line="276" w:lineRule="auto"/>
      <w:contextualSpacing/>
    </w:pPr>
    <w:rPr>
      <w:rFonts w:eastAsiaTheme="minorHAnsi" w:cs="Arial"/>
      <w:szCs w:val="22"/>
    </w:rPr>
  </w:style>
  <w:style w:type="character" w:customStyle="1" w:styleId="Heading1Char">
    <w:name w:val="Heading 1 Char"/>
    <w:basedOn w:val="DefaultParagraphFont"/>
    <w:link w:val="Heading1"/>
    <w:uiPriority w:val="9"/>
    <w:rsid w:val="008B5045"/>
    <w:rPr>
      <w:rFonts w:ascii="Calibri" w:hAnsi="Calibri" w:cs="Arial"/>
      <w:bCs/>
      <w:color w:val="61A83D" w:themeColor="accent4"/>
      <w:kern w:val="32"/>
      <w:sz w:val="32"/>
      <w:szCs w:val="32"/>
    </w:rPr>
  </w:style>
  <w:style w:type="character" w:styleId="CommentReference">
    <w:name w:val="annotation reference"/>
    <w:basedOn w:val="DefaultParagraphFont"/>
    <w:uiPriority w:val="99"/>
    <w:unhideWhenUsed/>
    <w:rsid w:val="00CC124D"/>
    <w:rPr>
      <w:sz w:val="16"/>
      <w:szCs w:val="16"/>
    </w:rPr>
  </w:style>
  <w:style w:type="paragraph" w:styleId="CommentText">
    <w:name w:val="annotation text"/>
    <w:basedOn w:val="Normal"/>
    <w:link w:val="CommentTextChar"/>
    <w:uiPriority w:val="99"/>
    <w:unhideWhenUsed/>
    <w:rsid w:val="00CC124D"/>
    <w:pPr>
      <w:spacing w:after="200"/>
    </w:pPr>
    <w:rPr>
      <w:rFonts w:eastAsiaTheme="minorHAnsi" w:cstheme="minorBidi"/>
      <w:sz w:val="20"/>
      <w:szCs w:val="20"/>
    </w:rPr>
  </w:style>
  <w:style w:type="character" w:customStyle="1" w:styleId="CommentTextChar">
    <w:name w:val="Comment Text Char"/>
    <w:basedOn w:val="DefaultParagraphFont"/>
    <w:link w:val="CommentText"/>
    <w:uiPriority w:val="99"/>
    <w:rsid w:val="00CC124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CC124D"/>
    <w:rPr>
      <w:b/>
      <w:bCs/>
    </w:rPr>
  </w:style>
  <w:style w:type="character" w:customStyle="1" w:styleId="CommentSubjectChar">
    <w:name w:val="Comment Subject Char"/>
    <w:basedOn w:val="CommentTextChar"/>
    <w:link w:val="CommentSubject"/>
    <w:uiPriority w:val="99"/>
    <w:rsid w:val="00CC124D"/>
    <w:rPr>
      <w:rFonts w:asciiTheme="minorHAnsi" w:eastAsiaTheme="minorHAnsi" w:hAnsiTheme="minorHAnsi" w:cstheme="minorBidi"/>
      <w:b/>
      <w:bCs/>
    </w:rPr>
  </w:style>
  <w:style w:type="character" w:customStyle="1" w:styleId="BalloonTextChar">
    <w:name w:val="Balloon Text Char"/>
    <w:basedOn w:val="DefaultParagraphFont"/>
    <w:link w:val="BalloonText"/>
    <w:uiPriority w:val="99"/>
    <w:semiHidden/>
    <w:rsid w:val="00CC124D"/>
    <w:rPr>
      <w:rFonts w:ascii="Tahoma" w:hAnsi="Tahoma" w:cs="Tahoma"/>
      <w:sz w:val="16"/>
      <w:szCs w:val="16"/>
    </w:rPr>
  </w:style>
  <w:style w:type="table" w:styleId="TableGrid">
    <w:name w:val="Table Grid"/>
    <w:basedOn w:val="TableNormal"/>
    <w:uiPriority w:val="59"/>
    <w:rsid w:val="00CC124D"/>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0">
    <w:name w:val="Pa0"/>
    <w:basedOn w:val="Normal"/>
    <w:next w:val="Normal"/>
    <w:uiPriority w:val="99"/>
    <w:rsid w:val="00CC124D"/>
    <w:pPr>
      <w:autoSpaceDE w:val="0"/>
      <w:autoSpaceDN w:val="0"/>
      <w:adjustRightInd w:val="0"/>
      <w:spacing w:after="0" w:line="241" w:lineRule="atLeast"/>
    </w:pPr>
    <w:rPr>
      <w:rFonts w:ascii="Segoe" w:eastAsiaTheme="minorHAnsi" w:hAnsi="Segoe" w:cstheme="minorBidi"/>
      <w:sz w:val="24"/>
    </w:rPr>
  </w:style>
  <w:style w:type="character" w:customStyle="1" w:styleId="A4">
    <w:name w:val="A4"/>
    <w:uiPriority w:val="99"/>
    <w:rsid w:val="00CC124D"/>
    <w:rPr>
      <w:rFonts w:cs="Segoe"/>
      <w:color w:val="000000"/>
      <w:sz w:val="18"/>
      <w:szCs w:val="18"/>
    </w:rPr>
  </w:style>
  <w:style w:type="paragraph" w:styleId="NoSpacing">
    <w:name w:val="No Spacing"/>
    <w:uiPriority w:val="1"/>
    <w:qFormat/>
    <w:rsid w:val="00CC124D"/>
    <w:rPr>
      <w:rFonts w:asciiTheme="minorHAnsi" w:eastAsiaTheme="minorHAnsi" w:hAnsiTheme="minorHAnsi" w:cstheme="minorBidi"/>
      <w:sz w:val="22"/>
      <w:szCs w:val="22"/>
    </w:rPr>
  </w:style>
  <w:style w:type="character" w:customStyle="1" w:styleId="Heading3Char">
    <w:name w:val="Heading 3 Char"/>
    <w:basedOn w:val="DefaultParagraphFont"/>
    <w:link w:val="Heading3"/>
    <w:uiPriority w:val="9"/>
    <w:rsid w:val="0025067B"/>
    <w:rPr>
      <w:rFonts w:ascii="Arial" w:hAnsi="Arial" w:cs="Arial"/>
      <w:b/>
      <w:bCs/>
      <w:color w:val="4F81BD" w:themeColor="accent1"/>
      <w:szCs w:val="26"/>
    </w:rPr>
  </w:style>
  <w:style w:type="paragraph" w:styleId="TOCHeading">
    <w:name w:val="TOC Heading"/>
    <w:basedOn w:val="Heading1"/>
    <w:next w:val="Normal"/>
    <w:uiPriority w:val="39"/>
    <w:semiHidden/>
    <w:unhideWhenUsed/>
    <w:qFormat/>
    <w:rsid w:val="00CC124D"/>
    <w:pPr>
      <w:keepLines/>
      <w:spacing w:after="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HeaderChar">
    <w:name w:val="Header Char"/>
    <w:basedOn w:val="DefaultParagraphFont"/>
    <w:link w:val="Header"/>
    <w:uiPriority w:val="99"/>
    <w:rsid w:val="00CC124D"/>
    <w:rPr>
      <w:rFonts w:ascii="Arial" w:hAnsi="Arial"/>
      <w:sz w:val="22"/>
      <w:szCs w:val="24"/>
    </w:rPr>
  </w:style>
  <w:style w:type="character" w:customStyle="1" w:styleId="FooterChar">
    <w:name w:val="Footer Char"/>
    <w:basedOn w:val="DefaultParagraphFont"/>
    <w:link w:val="Footer"/>
    <w:uiPriority w:val="99"/>
    <w:rsid w:val="00CC124D"/>
    <w:rPr>
      <w:rFonts w:ascii="Arial" w:hAnsi="Arial"/>
      <w:sz w:val="16"/>
      <w:szCs w:val="24"/>
    </w:rPr>
  </w:style>
  <w:style w:type="paragraph" w:customStyle="1" w:styleId="Default">
    <w:name w:val="Default"/>
    <w:rsid w:val="00CC124D"/>
    <w:pPr>
      <w:autoSpaceDE w:val="0"/>
      <w:autoSpaceDN w:val="0"/>
      <w:adjustRightInd w:val="0"/>
    </w:pPr>
    <w:rPr>
      <w:rFonts w:ascii="Segoe UI" w:eastAsiaTheme="minorHAnsi" w:hAnsi="Segoe UI" w:cs="Segoe UI"/>
      <w:color w:val="000000"/>
      <w:sz w:val="24"/>
      <w:szCs w:val="24"/>
    </w:rPr>
  </w:style>
  <w:style w:type="table" w:styleId="TableColorful3">
    <w:name w:val="Table Colorful 3"/>
    <w:basedOn w:val="TableNormal"/>
    <w:rsid w:val="00407A5A"/>
    <w:pPr>
      <w:spacing w:after="12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3">
    <w:name w:val="Table Classic 3"/>
    <w:basedOn w:val="TableNormal"/>
    <w:rsid w:val="00407A5A"/>
    <w:pPr>
      <w:spacing w:after="12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DarkList-Accent1">
    <w:name w:val="Dark List Accent 1"/>
    <w:basedOn w:val="TableNormal"/>
    <w:uiPriority w:val="70"/>
    <w:rsid w:val="00407A5A"/>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2-Accent11">
    <w:name w:val="Medium Shading 2 - Accent 11"/>
    <w:basedOn w:val="TableNormal"/>
    <w:uiPriority w:val="64"/>
    <w:rsid w:val="00407A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Columns3">
    <w:name w:val="Table Columns 3"/>
    <w:basedOn w:val="TableNormal"/>
    <w:rsid w:val="0025067B"/>
    <w:pPr>
      <w:spacing w:after="12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EB41E9"/>
    <w:rPr>
      <w:b/>
      <w:bCs/>
    </w:rPr>
  </w:style>
  <w:style w:type="paragraph" w:styleId="Revision">
    <w:name w:val="Revision"/>
    <w:hidden/>
    <w:uiPriority w:val="99"/>
    <w:semiHidden/>
    <w:rsid w:val="000D67B3"/>
    <w:rPr>
      <w:rFonts w:ascii="Arial" w:hAnsi="Arial"/>
      <w:sz w:val="18"/>
      <w:szCs w:val="24"/>
    </w:rPr>
  </w:style>
  <w:style w:type="paragraph" w:styleId="Title">
    <w:name w:val="Title"/>
    <w:basedOn w:val="Normal"/>
    <w:next w:val="Normal"/>
    <w:link w:val="TitleChar"/>
    <w:qFormat/>
    <w:rsid w:val="00591182"/>
    <w:pP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591182"/>
    <w:rPr>
      <w:rFonts w:asciiTheme="majorHAnsi" w:eastAsiaTheme="majorEastAsia" w:hAnsiTheme="majorHAnsi" w:cstheme="majorBidi"/>
      <w:color w:val="17365D" w:themeColor="text2" w:themeShade="BF"/>
      <w:spacing w:val="5"/>
      <w:kern w:val="28"/>
      <w:sz w:val="52"/>
      <w:szCs w:val="52"/>
    </w:rPr>
  </w:style>
  <w:style w:type="table" w:styleId="DarkList-Accent5">
    <w:name w:val="Dark List Accent 5"/>
    <w:basedOn w:val="TableNormal"/>
    <w:uiPriority w:val="70"/>
    <w:rsid w:val="00FC620A"/>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character" w:customStyle="1" w:styleId="StyleHeadings14ptBoldAccent1">
    <w:name w:val="Style +Headings 14 pt Bold Accent 1"/>
    <w:basedOn w:val="DefaultParagraphFont"/>
    <w:rsid w:val="00D076AE"/>
    <w:rPr>
      <w:rFonts w:asciiTheme="majorHAnsi" w:hAnsiTheme="majorHAnsi"/>
      <w:b/>
      <w:bCs/>
      <w:color w:val="61A83D" w:themeColor="accent4"/>
      <w:sz w:val="28"/>
    </w:rPr>
  </w:style>
  <w:style w:type="table" w:customStyle="1" w:styleId="DarkList-Accent11">
    <w:name w:val="Dark List - Accent 11"/>
    <w:basedOn w:val="TableNormal"/>
    <w:uiPriority w:val="70"/>
    <w:rsid w:val="0036552B"/>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12">
    <w:name w:val="Dark List - Accent 12"/>
    <w:basedOn w:val="TableNormal"/>
    <w:uiPriority w:val="70"/>
    <w:rsid w:val="0036552B"/>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13">
    <w:name w:val="Dark List - Accent 13"/>
    <w:basedOn w:val="TableNormal"/>
    <w:uiPriority w:val="70"/>
    <w:rsid w:val="0036552B"/>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14">
    <w:name w:val="Dark List - Accent 14"/>
    <w:basedOn w:val="TableNormal"/>
    <w:uiPriority w:val="70"/>
    <w:rsid w:val="0036552B"/>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paragraph" w:styleId="DocumentMap">
    <w:name w:val="Document Map"/>
    <w:basedOn w:val="Normal"/>
    <w:link w:val="DocumentMapChar"/>
    <w:rsid w:val="00EB26E5"/>
    <w:pPr>
      <w:spacing w:before="0" w:after="0"/>
    </w:pPr>
    <w:rPr>
      <w:rFonts w:ascii="Tahoma" w:hAnsi="Tahoma" w:cs="Tahoma"/>
      <w:sz w:val="16"/>
      <w:szCs w:val="16"/>
    </w:rPr>
  </w:style>
  <w:style w:type="character" w:customStyle="1" w:styleId="DocumentMapChar">
    <w:name w:val="Document Map Char"/>
    <w:basedOn w:val="DefaultParagraphFont"/>
    <w:link w:val="DocumentMap"/>
    <w:rsid w:val="00EB26E5"/>
    <w:rPr>
      <w:rFonts w:ascii="Tahoma" w:hAnsi="Tahoma" w:cs="Tahoma"/>
      <w:sz w:val="16"/>
      <w:szCs w:val="16"/>
    </w:rPr>
  </w:style>
  <w:style w:type="paragraph" w:styleId="NormalWeb">
    <w:name w:val="Normal (Web)"/>
    <w:basedOn w:val="Normal"/>
    <w:uiPriority w:val="99"/>
    <w:unhideWhenUsed/>
    <w:rsid w:val="008521A5"/>
    <w:pPr>
      <w:spacing w:before="100" w:beforeAutospacing="1" w:after="100" w:afterAutospacing="1"/>
    </w:pPr>
    <w:rPr>
      <w:rFonts w:ascii="Times New Roman" w:hAnsi="Times New Roman"/>
      <w:sz w:val="24"/>
    </w:rPr>
  </w:style>
  <w:style w:type="paragraph" w:styleId="FootnoteText">
    <w:name w:val="footnote text"/>
    <w:basedOn w:val="Normal"/>
    <w:link w:val="FootnoteTextChar"/>
    <w:rsid w:val="008521A5"/>
    <w:pPr>
      <w:spacing w:before="0" w:after="0"/>
    </w:pPr>
    <w:rPr>
      <w:sz w:val="20"/>
      <w:szCs w:val="20"/>
    </w:rPr>
  </w:style>
  <w:style w:type="character" w:customStyle="1" w:styleId="FootnoteTextChar">
    <w:name w:val="Footnote Text Char"/>
    <w:basedOn w:val="DefaultParagraphFont"/>
    <w:link w:val="FootnoteText"/>
    <w:rsid w:val="008521A5"/>
    <w:rPr>
      <w:rFonts w:asciiTheme="minorHAnsi" w:hAnsiTheme="minorHAnsi"/>
    </w:rPr>
  </w:style>
  <w:style w:type="character" w:styleId="FootnoteReference">
    <w:name w:val="footnote reference"/>
    <w:basedOn w:val="DefaultParagraphFont"/>
    <w:rsid w:val="008521A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977512">
      <w:bodyDiv w:val="1"/>
      <w:marLeft w:val="0"/>
      <w:marRight w:val="0"/>
      <w:marTop w:val="0"/>
      <w:marBottom w:val="0"/>
      <w:divBdr>
        <w:top w:val="none" w:sz="0" w:space="0" w:color="auto"/>
        <w:left w:val="none" w:sz="0" w:space="0" w:color="auto"/>
        <w:bottom w:val="none" w:sz="0" w:space="0" w:color="auto"/>
        <w:right w:val="none" w:sz="0" w:space="0" w:color="auto"/>
      </w:divBdr>
      <w:divsChild>
        <w:div w:id="1819032337">
          <w:marLeft w:val="0"/>
          <w:marRight w:val="0"/>
          <w:marTop w:val="0"/>
          <w:marBottom w:val="0"/>
          <w:divBdr>
            <w:top w:val="none" w:sz="0" w:space="0" w:color="auto"/>
            <w:left w:val="none" w:sz="0" w:space="0" w:color="auto"/>
            <w:bottom w:val="none" w:sz="0" w:space="0" w:color="auto"/>
            <w:right w:val="none" w:sz="0" w:space="0" w:color="auto"/>
          </w:divBdr>
          <w:divsChild>
            <w:div w:id="1850562535">
              <w:marLeft w:val="0"/>
              <w:marRight w:val="0"/>
              <w:marTop w:val="0"/>
              <w:marBottom w:val="0"/>
              <w:divBdr>
                <w:top w:val="none" w:sz="0" w:space="0" w:color="auto"/>
                <w:left w:val="none" w:sz="0" w:space="0" w:color="auto"/>
                <w:bottom w:val="none" w:sz="0" w:space="0" w:color="auto"/>
                <w:right w:val="none" w:sz="0" w:space="0" w:color="auto"/>
              </w:divBdr>
              <w:divsChild>
                <w:div w:id="1080981819">
                  <w:marLeft w:val="0"/>
                  <w:marRight w:val="0"/>
                  <w:marTop w:val="0"/>
                  <w:marBottom w:val="0"/>
                  <w:divBdr>
                    <w:top w:val="none" w:sz="0" w:space="0" w:color="auto"/>
                    <w:left w:val="none" w:sz="0" w:space="0" w:color="auto"/>
                    <w:bottom w:val="none" w:sz="0" w:space="0" w:color="auto"/>
                    <w:right w:val="none" w:sz="0" w:space="0" w:color="auto"/>
                  </w:divBdr>
                  <w:divsChild>
                    <w:div w:id="1600943177">
                      <w:marLeft w:val="259"/>
                      <w:marRight w:val="259"/>
                      <w:marTop w:val="0"/>
                      <w:marBottom w:val="0"/>
                      <w:divBdr>
                        <w:top w:val="none" w:sz="0" w:space="0" w:color="auto"/>
                        <w:left w:val="none" w:sz="0" w:space="0" w:color="auto"/>
                        <w:bottom w:val="none" w:sz="0" w:space="0" w:color="auto"/>
                        <w:right w:val="none" w:sz="0" w:space="0" w:color="auto"/>
                      </w:divBdr>
                      <w:divsChild>
                        <w:div w:id="1725324974">
                          <w:marLeft w:val="0"/>
                          <w:marRight w:val="402"/>
                          <w:marTop w:val="0"/>
                          <w:marBottom w:val="0"/>
                          <w:divBdr>
                            <w:top w:val="none" w:sz="0" w:space="0" w:color="auto"/>
                            <w:left w:val="none" w:sz="0" w:space="0" w:color="auto"/>
                            <w:bottom w:val="none" w:sz="0" w:space="0" w:color="auto"/>
                            <w:right w:val="none" w:sz="0" w:space="0" w:color="auto"/>
                          </w:divBdr>
                          <w:divsChild>
                            <w:div w:id="103804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69386">
      <w:bodyDiv w:val="1"/>
      <w:marLeft w:val="0"/>
      <w:marRight w:val="0"/>
      <w:marTop w:val="0"/>
      <w:marBottom w:val="0"/>
      <w:divBdr>
        <w:top w:val="none" w:sz="0" w:space="0" w:color="auto"/>
        <w:left w:val="none" w:sz="0" w:space="0" w:color="auto"/>
        <w:bottom w:val="none" w:sz="0" w:space="0" w:color="auto"/>
        <w:right w:val="none" w:sz="0" w:space="0" w:color="auto"/>
      </w:divBdr>
      <w:divsChild>
        <w:div w:id="646667381">
          <w:marLeft w:val="1166"/>
          <w:marRight w:val="0"/>
          <w:marTop w:val="115"/>
          <w:marBottom w:val="0"/>
          <w:divBdr>
            <w:top w:val="none" w:sz="0" w:space="0" w:color="auto"/>
            <w:left w:val="none" w:sz="0" w:space="0" w:color="auto"/>
            <w:bottom w:val="none" w:sz="0" w:space="0" w:color="auto"/>
            <w:right w:val="none" w:sz="0" w:space="0" w:color="auto"/>
          </w:divBdr>
        </w:div>
      </w:divsChild>
    </w:div>
    <w:div w:id="567543366">
      <w:bodyDiv w:val="1"/>
      <w:marLeft w:val="0"/>
      <w:marRight w:val="0"/>
      <w:marTop w:val="0"/>
      <w:marBottom w:val="0"/>
      <w:divBdr>
        <w:top w:val="none" w:sz="0" w:space="0" w:color="auto"/>
        <w:left w:val="none" w:sz="0" w:space="0" w:color="auto"/>
        <w:bottom w:val="none" w:sz="0" w:space="0" w:color="auto"/>
        <w:right w:val="none" w:sz="0" w:space="0" w:color="auto"/>
      </w:divBdr>
      <w:divsChild>
        <w:div w:id="653684990">
          <w:marLeft w:val="720"/>
          <w:marRight w:val="0"/>
          <w:marTop w:val="96"/>
          <w:marBottom w:val="0"/>
          <w:divBdr>
            <w:top w:val="none" w:sz="0" w:space="0" w:color="auto"/>
            <w:left w:val="none" w:sz="0" w:space="0" w:color="auto"/>
            <w:bottom w:val="none" w:sz="0" w:space="0" w:color="auto"/>
            <w:right w:val="none" w:sz="0" w:space="0" w:color="auto"/>
          </w:divBdr>
        </w:div>
        <w:div w:id="1132485297">
          <w:marLeft w:val="1339"/>
          <w:marRight w:val="0"/>
          <w:marTop w:val="96"/>
          <w:marBottom w:val="0"/>
          <w:divBdr>
            <w:top w:val="none" w:sz="0" w:space="0" w:color="auto"/>
            <w:left w:val="none" w:sz="0" w:space="0" w:color="auto"/>
            <w:bottom w:val="none" w:sz="0" w:space="0" w:color="auto"/>
            <w:right w:val="none" w:sz="0" w:space="0" w:color="auto"/>
          </w:divBdr>
        </w:div>
        <w:div w:id="1307706529">
          <w:marLeft w:val="1339"/>
          <w:marRight w:val="0"/>
          <w:marTop w:val="96"/>
          <w:marBottom w:val="0"/>
          <w:divBdr>
            <w:top w:val="none" w:sz="0" w:space="0" w:color="auto"/>
            <w:left w:val="none" w:sz="0" w:space="0" w:color="auto"/>
            <w:bottom w:val="none" w:sz="0" w:space="0" w:color="auto"/>
            <w:right w:val="none" w:sz="0" w:space="0" w:color="auto"/>
          </w:divBdr>
        </w:div>
        <w:div w:id="1472671652">
          <w:marLeft w:val="1339"/>
          <w:marRight w:val="0"/>
          <w:marTop w:val="96"/>
          <w:marBottom w:val="0"/>
          <w:divBdr>
            <w:top w:val="none" w:sz="0" w:space="0" w:color="auto"/>
            <w:left w:val="none" w:sz="0" w:space="0" w:color="auto"/>
            <w:bottom w:val="none" w:sz="0" w:space="0" w:color="auto"/>
            <w:right w:val="none" w:sz="0" w:space="0" w:color="auto"/>
          </w:divBdr>
        </w:div>
        <w:div w:id="1727145768">
          <w:marLeft w:val="720"/>
          <w:marRight w:val="0"/>
          <w:marTop w:val="96"/>
          <w:marBottom w:val="0"/>
          <w:divBdr>
            <w:top w:val="none" w:sz="0" w:space="0" w:color="auto"/>
            <w:left w:val="none" w:sz="0" w:space="0" w:color="auto"/>
            <w:bottom w:val="none" w:sz="0" w:space="0" w:color="auto"/>
            <w:right w:val="none" w:sz="0" w:space="0" w:color="auto"/>
          </w:divBdr>
        </w:div>
        <w:div w:id="1762870196">
          <w:marLeft w:val="720"/>
          <w:marRight w:val="0"/>
          <w:marTop w:val="96"/>
          <w:marBottom w:val="0"/>
          <w:divBdr>
            <w:top w:val="none" w:sz="0" w:space="0" w:color="auto"/>
            <w:left w:val="none" w:sz="0" w:space="0" w:color="auto"/>
            <w:bottom w:val="none" w:sz="0" w:space="0" w:color="auto"/>
            <w:right w:val="none" w:sz="0" w:space="0" w:color="auto"/>
          </w:divBdr>
        </w:div>
        <w:div w:id="1911302258">
          <w:marLeft w:val="1339"/>
          <w:marRight w:val="0"/>
          <w:marTop w:val="96"/>
          <w:marBottom w:val="0"/>
          <w:divBdr>
            <w:top w:val="none" w:sz="0" w:space="0" w:color="auto"/>
            <w:left w:val="none" w:sz="0" w:space="0" w:color="auto"/>
            <w:bottom w:val="none" w:sz="0" w:space="0" w:color="auto"/>
            <w:right w:val="none" w:sz="0" w:space="0" w:color="auto"/>
          </w:divBdr>
        </w:div>
      </w:divsChild>
    </w:div>
    <w:div w:id="634797900">
      <w:bodyDiv w:val="1"/>
      <w:marLeft w:val="0"/>
      <w:marRight w:val="0"/>
      <w:marTop w:val="0"/>
      <w:marBottom w:val="0"/>
      <w:divBdr>
        <w:top w:val="none" w:sz="0" w:space="0" w:color="auto"/>
        <w:left w:val="none" w:sz="0" w:space="0" w:color="auto"/>
        <w:bottom w:val="none" w:sz="0" w:space="0" w:color="auto"/>
        <w:right w:val="none" w:sz="0" w:space="0" w:color="auto"/>
      </w:divBdr>
    </w:div>
    <w:div w:id="900596187">
      <w:bodyDiv w:val="1"/>
      <w:marLeft w:val="0"/>
      <w:marRight w:val="0"/>
      <w:marTop w:val="0"/>
      <w:marBottom w:val="0"/>
      <w:divBdr>
        <w:top w:val="none" w:sz="0" w:space="0" w:color="auto"/>
        <w:left w:val="none" w:sz="0" w:space="0" w:color="auto"/>
        <w:bottom w:val="none" w:sz="0" w:space="0" w:color="auto"/>
        <w:right w:val="none" w:sz="0" w:space="0" w:color="auto"/>
      </w:divBdr>
    </w:div>
    <w:div w:id="1147816038">
      <w:bodyDiv w:val="1"/>
      <w:marLeft w:val="0"/>
      <w:marRight w:val="0"/>
      <w:marTop w:val="0"/>
      <w:marBottom w:val="0"/>
      <w:divBdr>
        <w:top w:val="none" w:sz="0" w:space="0" w:color="auto"/>
        <w:left w:val="none" w:sz="0" w:space="0" w:color="auto"/>
        <w:bottom w:val="none" w:sz="0" w:space="0" w:color="auto"/>
        <w:right w:val="none" w:sz="0" w:space="0" w:color="auto"/>
      </w:divBdr>
      <w:divsChild>
        <w:div w:id="2115009530">
          <w:marLeft w:val="0"/>
          <w:marRight w:val="0"/>
          <w:marTop w:val="0"/>
          <w:marBottom w:val="0"/>
          <w:divBdr>
            <w:top w:val="none" w:sz="0" w:space="0" w:color="auto"/>
            <w:left w:val="none" w:sz="0" w:space="0" w:color="auto"/>
            <w:bottom w:val="none" w:sz="0" w:space="0" w:color="auto"/>
            <w:right w:val="none" w:sz="0" w:space="0" w:color="auto"/>
          </w:divBdr>
          <w:divsChild>
            <w:div w:id="523516668">
              <w:marLeft w:val="0"/>
              <w:marRight w:val="0"/>
              <w:marTop w:val="0"/>
              <w:marBottom w:val="0"/>
              <w:divBdr>
                <w:top w:val="none" w:sz="0" w:space="0" w:color="auto"/>
                <w:left w:val="none" w:sz="0" w:space="0" w:color="auto"/>
                <w:bottom w:val="none" w:sz="0" w:space="0" w:color="auto"/>
                <w:right w:val="none" w:sz="0" w:space="0" w:color="auto"/>
              </w:divBdr>
              <w:divsChild>
                <w:div w:id="512383230">
                  <w:marLeft w:val="0"/>
                  <w:marRight w:val="0"/>
                  <w:marTop w:val="0"/>
                  <w:marBottom w:val="0"/>
                  <w:divBdr>
                    <w:top w:val="none" w:sz="0" w:space="0" w:color="auto"/>
                    <w:left w:val="none" w:sz="0" w:space="0" w:color="auto"/>
                    <w:bottom w:val="none" w:sz="0" w:space="0" w:color="auto"/>
                    <w:right w:val="none" w:sz="0" w:space="0" w:color="auto"/>
                  </w:divBdr>
                  <w:divsChild>
                    <w:div w:id="809637857">
                      <w:marLeft w:val="259"/>
                      <w:marRight w:val="259"/>
                      <w:marTop w:val="0"/>
                      <w:marBottom w:val="0"/>
                      <w:divBdr>
                        <w:top w:val="none" w:sz="0" w:space="0" w:color="auto"/>
                        <w:left w:val="none" w:sz="0" w:space="0" w:color="auto"/>
                        <w:bottom w:val="none" w:sz="0" w:space="0" w:color="auto"/>
                        <w:right w:val="none" w:sz="0" w:space="0" w:color="auto"/>
                      </w:divBdr>
                      <w:divsChild>
                        <w:div w:id="847401407">
                          <w:marLeft w:val="0"/>
                          <w:marRight w:val="402"/>
                          <w:marTop w:val="0"/>
                          <w:marBottom w:val="0"/>
                          <w:divBdr>
                            <w:top w:val="none" w:sz="0" w:space="0" w:color="auto"/>
                            <w:left w:val="none" w:sz="0" w:space="0" w:color="auto"/>
                            <w:bottom w:val="none" w:sz="0" w:space="0" w:color="auto"/>
                            <w:right w:val="none" w:sz="0" w:space="0" w:color="auto"/>
                          </w:divBdr>
                          <w:divsChild>
                            <w:div w:id="120266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298140">
      <w:bodyDiv w:val="1"/>
      <w:marLeft w:val="0"/>
      <w:marRight w:val="0"/>
      <w:marTop w:val="0"/>
      <w:marBottom w:val="0"/>
      <w:divBdr>
        <w:top w:val="none" w:sz="0" w:space="0" w:color="auto"/>
        <w:left w:val="none" w:sz="0" w:space="0" w:color="auto"/>
        <w:bottom w:val="none" w:sz="0" w:space="0" w:color="auto"/>
        <w:right w:val="none" w:sz="0" w:space="0" w:color="auto"/>
      </w:divBdr>
    </w:div>
    <w:div w:id="1472358662">
      <w:bodyDiv w:val="1"/>
      <w:marLeft w:val="0"/>
      <w:marRight w:val="0"/>
      <w:marTop w:val="0"/>
      <w:marBottom w:val="0"/>
      <w:divBdr>
        <w:top w:val="none" w:sz="0" w:space="0" w:color="auto"/>
        <w:left w:val="none" w:sz="0" w:space="0" w:color="auto"/>
        <w:bottom w:val="none" w:sz="0" w:space="0" w:color="auto"/>
        <w:right w:val="none" w:sz="0" w:space="0" w:color="auto"/>
      </w:divBdr>
      <w:divsChild>
        <w:div w:id="1224220102">
          <w:marLeft w:val="0"/>
          <w:marRight w:val="0"/>
          <w:marTop w:val="0"/>
          <w:marBottom w:val="0"/>
          <w:divBdr>
            <w:top w:val="none" w:sz="0" w:space="0" w:color="auto"/>
            <w:left w:val="none" w:sz="0" w:space="0" w:color="auto"/>
            <w:bottom w:val="none" w:sz="0" w:space="0" w:color="auto"/>
            <w:right w:val="none" w:sz="0" w:space="0" w:color="auto"/>
          </w:divBdr>
          <w:divsChild>
            <w:div w:id="483280693">
              <w:marLeft w:val="0"/>
              <w:marRight w:val="0"/>
              <w:marTop w:val="107"/>
              <w:marBottom w:val="0"/>
              <w:divBdr>
                <w:top w:val="none" w:sz="0" w:space="0" w:color="auto"/>
                <w:left w:val="none" w:sz="0" w:space="0" w:color="auto"/>
                <w:bottom w:val="none" w:sz="0" w:space="0" w:color="auto"/>
                <w:right w:val="none" w:sz="0" w:space="0" w:color="auto"/>
              </w:divBdr>
              <w:divsChild>
                <w:div w:id="1767997156">
                  <w:marLeft w:val="0"/>
                  <w:marRight w:val="0"/>
                  <w:marTop w:val="0"/>
                  <w:marBottom w:val="0"/>
                  <w:divBdr>
                    <w:top w:val="none" w:sz="0" w:space="0" w:color="auto"/>
                    <w:left w:val="none" w:sz="0" w:space="0" w:color="auto"/>
                    <w:bottom w:val="none" w:sz="0" w:space="0" w:color="auto"/>
                    <w:right w:val="none" w:sz="0" w:space="0" w:color="auto"/>
                  </w:divBdr>
                  <w:divsChild>
                    <w:div w:id="2023821723">
                      <w:marLeft w:val="0"/>
                      <w:marRight w:val="0"/>
                      <w:marTop w:val="0"/>
                      <w:marBottom w:val="0"/>
                      <w:divBdr>
                        <w:top w:val="none" w:sz="0" w:space="0" w:color="auto"/>
                        <w:left w:val="none" w:sz="0" w:space="0" w:color="auto"/>
                        <w:bottom w:val="none" w:sz="0" w:space="0" w:color="auto"/>
                        <w:right w:val="none" w:sz="0" w:space="0" w:color="auto"/>
                      </w:divBdr>
                      <w:divsChild>
                        <w:div w:id="887690455">
                          <w:marLeft w:val="0"/>
                          <w:marRight w:val="0"/>
                          <w:marTop w:val="0"/>
                          <w:marBottom w:val="0"/>
                          <w:divBdr>
                            <w:top w:val="none" w:sz="0" w:space="0" w:color="auto"/>
                            <w:left w:val="none" w:sz="0" w:space="0" w:color="auto"/>
                            <w:bottom w:val="none" w:sz="0" w:space="0" w:color="auto"/>
                            <w:right w:val="none" w:sz="0" w:space="0" w:color="auto"/>
                          </w:divBdr>
                          <w:divsChild>
                            <w:div w:id="252974913">
                              <w:marLeft w:val="0"/>
                              <w:marRight w:val="0"/>
                              <w:marTop w:val="0"/>
                              <w:marBottom w:val="0"/>
                              <w:divBdr>
                                <w:top w:val="none" w:sz="0" w:space="0" w:color="auto"/>
                                <w:left w:val="none" w:sz="0" w:space="0" w:color="auto"/>
                                <w:bottom w:val="none" w:sz="0" w:space="0" w:color="auto"/>
                                <w:right w:val="none" w:sz="0" w:space="0" w:color="auto"/>
                              </w:divBdr>
                              <w:divsChild>
                                <w:div w:id="1936160910">
                                  <w:marLeft w:val="0"/>
                                  <w:marRight w:val="0"/>
                                  <w:marTop w:val="0"/>
                                  <w:marBottom w:val="0"/>
                                  <w:divBdr>
                                    <w:top w:val="none" w:sz="0" w:space="0" w:color="auto"/>
                                    <w:left w:val="none" w:sz="0" w:space="0" w:color="auto"/>
                                    <w:bottom w:val="none" w:sz="0" w:space="0" w:color="auto"/>
                                    <w:right w:val="none" w:sz="0" w:space="0" w:color="auto"/>
                                  </w:divBdr>
                                  <w:divsChild>
                                    <w:div w:id="1088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7815253">
      <w:bodyDiv w:val="1"/>
      <w:marLeft w:val="0"/>
      <w:marRight w:val="0"/>
      <w:marTop w:val="0"/>
      <w:marBottom w:val="0"/>
      <w:divBdr>
        <w:top w:val="none" w:sz="0" w:space="0" w:color="auto"/>
        <w:left w:val="none" w:sz="0" w:space="0" w:color="auto"/>
        <w:bottom w:val="none" w:sz="0" w:space="0" w:color="auto"/>
        <w:right w:val="none" w:sz="0" w:space="0" w:color="auto"/>
      </w:divBdr>
    </w:div>
    <w:div w:id="1579946954">
      <w:bodyDiv w:val="1"/>
      <w:marLeft w:val="0"/>
      <w:marRight w:val="0"/>
      <w:marTop w:val="0"/>
      <w:marBottom w:val="0"/>
      <w:divBdr>
        <w:top w:val="none" w:sz="0" w:space="0" w:color="auto"/>
        <w:left w:val="none" w:sz="0" w:space="0" w:color="auto"/>
        <w:bottom w:val="none" w:sz="0" w:space="0" w:color="auto"/>
        <w:right w:val="none" w:sz="0" w:space="0" w:color="auto"/>
      </w:divBdr>
    </w:div>
    <w:div w:id="1885098000">
      <w:bodyDiv w:val="1"/>
      <w:marLeft w:val="0"/>
      <w:marRight w:val="0"/>
      <w:marTop w:val="0"/>
      <w:marBottom w:val="0"/>
      <w:divBdr>
        <w:top w:val="none" w:sz="0" w:space="0" w:color="auto"/>
        <w:left w:val="none" w:sz="0" w:space="0" w:color="auto"/>
        <w:bottom w:val="none" w:sz="0" w:space="0" w:color="auto"/>
        <w:right w:val="none" w:sz="0" w:space="0" w:color="auto"/>
      </w:divBdr>
    </w:div>
    <w:div w:id="2041465053">
      <w:bodyDiv w:val="1"/>
      <w:marLeft w:val="0"/>
      <w:marRight w:val="0"/>
      <w:marTop w:val="0"/>
      <w:marBottom w:val="0"/>
      <w:divBdr>
        <w:top w:val="none" w:sz="0" w:space="0" w:color="auto"/>
        <w:left w:val="none" w:sz="0" w:space="0" w:color="auto"/>
        <w:bottom w:val="none" w:sz="0" w:space="0" w:color="auto"/>
        <w:right w:val="none" w:sz="0" w:space="0" w:color="auto"/>
      </w:divBdr>
    </w:div>
    <w:div w:id="2049643327">
      <w:bodyDiv w:val="1"/>
      <w:marLeft w:val="0"/>
      <w:marRight w:val="0"/>
      <w:marTop w:val="0"/>
      <w:marBottom w:val="0"/>
      <w:divBdr>
        <w:top w:val="none" w:sz="0" w:space="0" w:color="auto"/>
        <w:left w:val="none" w:sz="0" w:space="0" w:color="auto"/>
        <w:bottom w:val="none" w:sz="0" w:space="0" w:color="auto"/>
        <w:right w:val="none" w:sz="0" w:space="0" w:color="auto"/>
      </w:divBdr>
      <w:divsChild>
        <w:div w:id="1897542212">
          <w:marLeft w:val="0"/>
          <w:marRight w:val="0"/>
          <w:marTop w:val="0"/>
          <w:marBottom w:val="0"/>
          <w:divBdr>
            <w:top w:val="none" w:sz="0" w:space="0" w:color="auto"/>
            <w:left w:val="none" w:sz="0" w:space="0" w:color="auto"/>
            <w:bottom w:val="none" w:sz="0" w:space="0" w:color="auto"/>
            <w:right w:val="none" w:sz="0" w:space="0" w:color="auto"/>
          </w:divBdr>
          <w:divsChild>
            <w:div w:id="508062957">
              <w:marLeft w:val="0"/>
              <w:marRight w:val="0"/>
              <w:marTop w:val="0"/>
              <w:marBottom w:val="0"/>
              <w:divBdr>
                <w:top w:val="none" w:sz="0" w:space="0" w:color="auto"/>
                <w:left w:val="none" w:sz="0" w:space="0" w:color="auto"/>
                <w:bottom w:val="none" w:sz="0" w:space="0" w:color="auto"/>
                <w:right w:val="none" w:sz="0" w:space="0" w:color="auto"/>
              </w:divBdr>
              <w:divsChild>
                <w:div w:id="776756438">
                  <w:marLeft w:val="0"/>
                  <w:marRight w:val="0"/>
                  <w:marTop w:val="0"/>
                  <w:marBottom w:val="0"/>
                  <w:divBdr>
                    <w:top w:val="none" w:sz="0" w:space="0" w:color="auto"/>
                    <w:left w:val="none" w:sz="0" w:space="0" w:color="auto"/>
                    <w:bottom w:val="none" w:sz="0" w:space="0" w:color="auto"/>
                    <w:right w:val="none" w:sz="0" w:space="0" w:color="auto"/>
                  </w:divBdr>
                  <w:divsChild>
                    <w:div w:id="1910071821">
                      <w:marLeft w:val="259"/>
                      <w:marRight w:val="259"/>
                      <w:marTop w:val="0"/>
                      <w:marBottom w:val="0"/>
                      <w:divBdr>
                        <w:top w:val="none" w:sz="0" w:space="0" w:color="auto"/>
                        <w:left w:val="none" w:sz="0" w:space="0" w:color="auto"/>
                        <w:bottom w:val="none" w:sz="0" w:space="0" w:color="auto"/>
                        <w:right w:val="none" w:sz="0" w:space="0" w:color="auto"/>
                      </w:divBdr>
                      <w:divsChild>
                        <w:div w:id="1701592415">
                          <w:marLeft w:val="0"/>
                          <w:marRight w:val="402"/>
                          <w:marTop w:val="0"/>
                          <w:marBottom w:val="0"/>
                          <w:divBdr>
                            <w:top w:val="none" w:sz="0" w:space="0" w:color="auto"/>
                            <w:left w:val="none" w:sz="0" w:space="0" w:color="auto"/>
                            <w:bottom w:val="none" w:sz="0" w:space="0" w:color="auto"/>
                            <w:right w:val="none" w:sz="0" w:space="0" w:color="auto"/>
                          </w:divBdr>
                          <w:divsChild>
                            <w:div w:id="189218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398474">
      <w:bodyDiv w:val="1"/>
      <w:marLeft w:val="0"/>
      <w:marRight w:val="0"/>
      <w:marTop w:val="0"/>
      <w:marBottom w:val="0"/>
      <w:divBdr>
        <w:top w:val="none" w:sz="0" w:space="0" w:color="auto"/>
        <w:left w:val="none" w:sz="0" w:space="0" w:color="auto"/>
        <w:bottom w:val="none" w:sz="0" w:space="0" w:color="auto"/>
        <w:right w:val="none" w:sz="0" w:space="0" w:color="auto"/>
      </w:divBdr>
      <w:divsChild>
        <w:div w:id="1881741504">
          <w:marLeft w:val="1339"/>
          <w:marRight w:val="0"/>
          <w:marTop w:val="96"/>
          <w:marBottom w:val="0"/>
          <w:divBdr>
            <w:top w:val="none" w:sz="0" w:space="0" w:color="auto"/>
            <w:left w:val="none" w:sz="0" w:space="0" w:color="auto"/>
            <w:bottom w:val="none" w:sz="0" w:space="0" w:color="auto"/>
            <w:right w:val="none" w:sz="0" w:space="0" w:color="auto"/>
          </w:divBdr>
        </w:div>
        <w:div w:id="349837901">
          <w:marLeft w:val="1339"/>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s://solutionfinder.microsoft.com" TargetMode="External"/><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www.microsoft.com/licensing/s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microsoft.com/licensin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microsoft.com/windows/enterprise/how-to-buy.aspx" TargetMode="External"/><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www.microsoft.com/licensing/index/worldwide.m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icrosoft.com/windows/enterprise/products/windows-7.aspx"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Windows 7">
      <a:dk1>
        <a:sysClr val="windowText" lastClr="000000"/>
      </a:dk1>
      <a:lt1>
        <a:sysClr val="window" lastClr="FFFFFF"/>
      </a:lt1>
      <a:dk2>
        <a:srgbClr val="1F497D"/>
      </a:dk2>
      <a:lt2>
        <a:srgbClr val="EEECE1"/>
      </a:lt2>
      <a:accent1>
        <a:srgbClr val="4F81BD"/>
      </a:accent1>
      <a:accent2>
        <a:srgbClr val="C0504D"/>
      </a:accent2>
      <a:accent3>
        <a:srgbClr val="88BC58"/>
      </a:accent3>
      <a:accent4>
        <a:srgbClr val="61A83D"/>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A57E5-4D9F-43C4-92C4-708F1CF36940}">
  <ds:schemaRefs>
    <ds:schemaRef ds:uri="http://schemas.microsoft.com/office/2006/metadata/longProperties"/>
  </ds:schemaRefs>
</ds:datastoreItem>
</file>

<file path=customXml/itemProps2.xml><?xml version="1.0" encoding="utf-8"?>
<ds:datastoreItem xmlns:ds="http://schemas.openxmlformats.org/officeDocument/2006/customXml" ds:itemID="{316EBC4D-BF8C-465F-9B88-67158DC22CE3}">
  <ds:schemaRefs>
    <ds:schemaRef ds:uri="http://schemas.openxmlformats.org/officeDocument/2006/bibliography"/>
  </ds:schemaRefs>
</ds:datastoreItem>
</file>

<file path=customXml/itemProps3.xml><?xml version="1.0" encoding="utf-8"?>
<ds:datastoreItem xmlns:ds="http://schemas.openxmlformats.org/officeDocument/2006/customXml" ds:itemID="{70A69D04-9EF8-4071-ACDD-3317EF02C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6257</CharactersWithSpaces>
  <SharedDoc>false</SharedDoc>
  <HLinks>
    <vt:vector size="18" baseType="variant">
      <vt:variant>
        <vt:i4>1048639</vt:i4>
      </vt:variant>
      <vt:variant>
        <vt:i4>14</vt:i4>
      </vt:variant>
      <vt:variant>
        <vt:i4>0</vt:i4>
      </vt:variant>
      <vt:variant>
        <vt:i4>5</vt:i4>
      </vt:variant>
      <vt:variant>
        <vt:lpwstr/>
      </vt:variant>
      <vt:variant>
        <vt:lpwstr>_Toc139445359</vt:lpwstr>
      </vt:variant>
      <vt:variant>
        <vt:i4>1048639</vt:i4>
      </vt:variant>
      <vt:variant>
        <vt:i4>8</vt:i4>
      </vt:variant>
      <vt:variant>
        <vt:i4>0</vt:i4>
      </vt:variant>
      <vt:variant>
        <vt:i4>5</vt:i4>
      </vt:variant>
      <vt:variant>
        <vt:lpwstr/>
      </vt:variant>
      <vt:variant>
        <vt:lpwstr>_Toc139445358</vt:lpwstr>
      </vt:variant>
      <vt:variant>
        <vt:i4>1048639</vt:i4>
      </vt:variant>
      <vt:variant>
        <vt:i4>2</vt:i4>
      </vt:variant>
      <vt:variant>
        <vt:i4>0</vt:i4>
      </vt:variant>
      <vt:variant>
        <vt:i4>5</vt:i4>
      </vt:variant>
      <vt:variant>
        <vt:lpwstr/>
      </vt:variant>
      <vt:variant>
        <vt:lpwstr>_Toc139445357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Windows 7 Volume Licensing</cp:keywords>
  <cp:lastModifiedBy/>
  <cp:revision>1</cp:revision>
  <dcterms:created xsi:type="dcterms:W3CDTF">2009-10-20T21:40:00Z</dcterms:created>
  <dcterms:modified xsi:type="dcterms:W3CDTF">2009-10-20T21:40:00Z</dcterms:modified>
</cp:coreProperties>
</file>