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5988C" w14:textId="35BD08EC" w:rsidR="00B0549D" w:rsidRDefault="00A26C62" w:rsidP="00B0549D">
      <w:pPr>
        <w:tabs>
          <w:tab w:val="left" w:pos="1920"/>
        </w:tabs>
        <w:rPr>
          <w:b/>
          <w:noProof/>
        </w:rPr>
      </w:pPr>
      <w:r>
        <w:rPr>
          <w:noProof/>
          <w:color w:val="E46C0A" w:themeColor="accent6" w:themeShade="BF"/>
        </w:rPr>
        <w:pict>
          <v:rect id="_x0000_s1029" style="position:absolute;margin-left:-8.05pt;margin-top:0;width:626.05pt;height:63pt;z-index:-251590656;mso-wrap-edited:f;mso-position-horizontal-relative:page;mso-position-vertical-relative:page" wrapcoords="-25 0 -25 21257 21600 21257 21600 0 -25 0" fillcolor="#e36c0a" stroked="f">
            <v:textbox inset="0,0,0,0"/>
            <w10:wrap type="tight" anchorx="page" anchory="page"/>
          </v:rect>
        </w:pict>
      </w:r>
      <w:r w:rsidR="00236C6F">
        <w:rPr>
          <w:b/>
          <w:noProof/>
        </w:rPr>
        <w:tab/>
      </w:r>
      <w:r w:rsidR="00D85638">
        <w:rPr>
          <w:b/>
          <w:noProof/>
        </w:rPr>
        <w:softHyphen/>
      </w:r>
    </w:p>
    <w:p w14:paraId="2BA9F4F3" w14:textId="189B4215" w:rsidR="00B0549D" w:rsidRPr="00F67068" w:rsidRDefault="00B0549D" w:rsidP="00B0549D"/>
    <w:p w14:paraId="3226C9B2" w14:textId="3D8FA4AD" w:rsidR="009A2B23" w:rsidRDefault="00A26C62" w:rsidP="009A2B23">
      <w:pPr>
        <w:spacing w:before="120"/>
        <w:ind w:left="-360" w:right="-3168"/>
        <w:jc w:val="both"/>
      </w:pPr>
      <w:r>
        <w:rPr>
          <w:b/>
          <w:noProof/>
        </w:rPr>
        <w:pict>
          <v:shapetype id="_x0000_t202" coordsize="21600,21600" o:spt="202" path="m,l,21600r21600,l21600,xe">
            <v:stroke joinstyle="miter"/>
            <v:path gradientshapeok="t" o:connecttype="rect"/>
          </v:shapetype>
          <v:shape id="_x0000_s1026" type="#_x0000_t202" style="position:absolute;left:0;text-align:left;margin-left:-165.75pt;margin-top:106.85pt;width:423.5pt;height:354.45pt;z-index:251664384;mso-wrap-edited:f" wrapcoords="0 0 21600 0 21600 21600 0 21600 0 0" filled="f" fillcolor="white [3212]" stroked="f">
            <v:fill color2="#e2dedc" rotate="t" o:detectmouseclick="t" type="gradient"/>
            <v:textbox style="mso-next-textbox:#_x0000_s1026" inset="0,0,0,0">
              <w:txbxContent>
                <w:p w14:paraId="7CAB7A3E" w14:textId="52752DFF" w:rsidR="00982722" w:rsidRDefault="00841FC4" w:rsidP="00B0549D">
                  <w:pPr>
                    <w:spacing w:line="192" w:lineRule="auto"/>
                    <w:rPr>
                      <w:rFonts w:eastAsia="Times New Roman"/>
                      <w:b/>
                      <w:color w:val="434240"/>
                      <w:sz w:val="69"/>
                      <w:szCs w:val="80"/>
                    </w:rPr>
                  </w:pPr>
                  <w:r>
                    <w:rPr>
                      <w:rFonts w:eastAsia="Times New Roman"/>
                      <w:b/>
                      <w:color w:val="434240"/>
                      <w:sz w:val="69"/>
                      <w:szCs w:val="80"/>
                    </w:rPr>
                    <w:t xml:space="preserve">An Overview of </w:t>
                  </w:r>
                  <w:r w:rsidR="002812B6">
                    <w:rPr>
                      <w:rFonts w:eastAsia="Times New Roman"/>
                      <w:b/>
                      <w:color w:val="434240"/>
                      <w:sz w:val="69"/>
                      <w:szCs w:val="80"/>
                    </w:rPr>
                    <w:br/>
                  </w:r>
                  <w:proofErr w:type="gramStart"/>
                  <w:r>
                    <w:rPr>
                      <w:rFonts w:eastAsia="Times New Roman"/>
                      <w:b/>
                      <w:color w:val="434240"/>
                      <w:sz w:val="69"/>
                      <w:szCs w:val="80"/>
                    </w:rPr>
                    <w:t>IT</w:t>
                  </w:r>
                  <w:proofErr w:type="gramEnd"/>
                  <w:r>
                    <w:rPr>
                      <w:rFonts w:eastAsia="Times New Roman"/>
                      <w:b/>
                      <w:color w:val="434240"/>
                      <w:sz w:val="69"/>
                      <w:szCs w:val="80"/>
                    </w:rPr>
                    <w:t xml:space="preserve"> Process Automation</w:t>
                  </w:r>
                </w:p>
                <w:p w14:paraId="597DAA23" w14:textId="77777777" w:rsidR="00841FC4" w:rsidRPr="004169D1" w:rsidRDefault="00841FC4" w:rsidP="00B0549D">
                  <w:pPr>
                    <w:spacing w:line="192" w:lineRule="auto"/>
                    <w:rPr>
                      <w:rFonts w:eastAsia="Times New Roman"/>
                      <w:b/>
                      <w:color w:val="434240"/>
                      <w:sz w:val="69"/>
                      <w:szCs w:val="80"/>
                    </w:rPr>
                  </w:pPr>
                </w:p>
                <w:p w14:paraId="44F4E618" w14:textId="77777777" w:rsidR="00982722" w:rsidRDefault="00982722" w:rsidP="00B0549D">
                  <w:pPr>
                    <w:pStyle w:val="NoSpacing"/>
                    <w:spacing w:line="264" w:lineRule="auto"/>
                    <w:rPr>
                      <w:rFonts w:ascii="Segoe" w:hAnsi="Segoe"/>
                      <w:color w:val="666666"/>
                      <w:sz w:val="26"/>
                    </w:rPr>
                  </w:pPr>
                </w:p>
                <w:p w14:paraId="022BF758" w14:textId="77777777" w:rsidR="00982722" w:rsidRDefault="00982722" w:rsidP="00B0549D">
                  <w:pPr>
                    <w:pStyle w:val="NoSpacing"/>
                    <w:spacing w:line="264" w:lineRule="auto"/>
                    <w:rPr>
                      <w:rFonts w:ascii="Segoe" w:hAnsi="Segoe"/>
                      <w:color w:val="666666"/>
                      <w:sz w:val="26"/>
                    </w:rPr>
                  </w:pPr>
                </w:p>
              </w:txbxContent>
            </v:textbox>
          </v:shape>
        </w:pict>
      </w:r>
      <w:r w:rsidR="002812B6">
        <w:rPr>
          <w:b/>
          <w:noProof/>
        </w:rPr>
        <w:drawing>
          <wp:anchor distT="0" distB="0" distL="114300" distR="114300" simplePos="0" relativeHeight="251737088" behindDoc="0" locked="0" layoutInCell="1" allowOverlap="1" wp14:editId="597B297F">
            <wp:simplePos x="0" y="0"/>
            <wp:positionH relativeFrom="margin">
              <wp:posOffset>-238125</wp:posOffset>
            </wp:positionH>
            <wp:positionV relativeFrom="margin">
              <wp:posOffset>838200</wp:posOffset>
            </wp:positionV>
            <wp:extent cx="2000250" cy="9296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lis_logo_huge.jpg"/>
                    <pic:cNvPicPr/>
                  </pic:nvPicPr>
                  <pic:blipFill>
                    <a:blip r:embed="rId12" cstate="print"/>
                    <a:stretch>
                      <a:fillRect/>
                    </a:stretch>
                  </pic:blipFill>
                  <pic:spPr>
                    <a:xfrm>
                      <a:off x="0" y="0"/>
                      <a:ext cx="2000250" cy="929640"/>
                    </a:xfrm>
                    <a:prstGeom prst="rect">
                      <a:avLst/>
                    </a:prstGeom>
                  </pic:spPr>
                </pic:pic>
              </a:graphicData>
            </a:graphic>
            <wp14:sizeRelH relativeFrom="margin">
              <wp14:pctWidth>0</wp14:pctWidth>
            </wp14:sizeRelH>
            <wp14:sizeRelV relativeFrom="margin">
              <wp14:pctHeight>0</wp14:pctHeight>
            </wp14:sizeRelV>
          </wp:anchor>
        </w:drawing>
      </w:r>
      <w:r w:rsidR="005F31EB">
        <w:br w:type="page"/>
      </w:r>
    </w:p>
    <w:p w14:paraId="15148D14" w14:textId="77777777" w:rsidR="009A2B23" w:rsidRDefault="00A26C62" w:rsidP="009A2B23">
      <w:pPr>
        <w:spacing w:before="120"/>
        <w:ind w:left="-360" w:right="-3168"/>
        <w:jc w:val="both"/>
      </w:pPr>
      <w:r>
        <w:rPr>
          <w:noProof/>
          <w:color w:val="E46C0A" w:themeColor="accent6" w:themeShade="BF"/>
        </w:rPr>
        <w:lastRenderedPageBreak/>
        <w:pict>
          <v:rect id="_x0000_s1031" style="position:absolute;left:0;text-align:left;margin-left:-38.5pt;margin-top:0;width:587pt;height:659.05pt;z-index:-251587584;mso-wrap-edited:f" fillcolor="white [3212]" stroked="f" strokecolor="#4a7ebb" strokeweight="1.5pt">
            <v:fill o:detectmouseclick="t"/>
            <v:shadow opacity="22938f" offset="0"/>
            <v:textbox inset=",7.2pt,,7.2pt"/>
          </v:rect>
        </w:pict>
      </w:r>
    </w:p>
    <w:p w14:paraId="507502D2" w14:textId="77777777" w:rsidR="0046551E" w:rsidRDefault="0046551E" w:rsidP="009A2B23">
      <w:pPr>
        <w:spacing w:before="120"/>
        <w:ind w:left="-360" w:right="-3168"/>
        <w:jc w:val="both"/>
        <w:rPr>
          <w:rFonts w:cs="Arial"/>
          <w:i/>
          <w:iCs/>
          <w:sz w:val="16"/>
          <w:szCs w:val="16"/>
        </w:rPr>
      </w:pPr>
    </w:p>
    <w:p w14:paraId="33FA01DD" w14:textId="77777777" w:rsidR="0046551E" w:rsidRDefault="0046551E" w:rsidP="009A2B23">
      <w:pPr>
        <w:spacing w:before="120"/>
        <w:ind w:left="-360" w:right="-3168"/>
        <w:jc w:val="both"/>
        <w:rPr>
          <w:rFonts w:cs="Arial"/>
          <w:i/>
          <w:iCs/>
          <w:sz w:val="16"/>
          <w:szCs w:val="16"/>
        </w:rPr>
      </w:pPr>
    </w:p>
    <w:p w14:paraId="19265161" w14:textId="77777777" w:rsidR="0046551E" w:rsidRDefault="0046551E" w:rsidP="009A2B23">
      <w:pPr>
        <w:spacing w:before="120"/>
        <w:ind w:left="-360" w:right="-3168"/>
        <w:jc w:val="both"/>
        <w:rPr>
          <w:rFonts w:cs="Arial"/>
          <w:i/>
          <w:iCs/>
          <w:sz w:val="16"/>
          <w:szCs w:val="16"/>
        </w:rPr>
      </w:pPr>
    </w:p>
    <w:p w14:paraId="6E0CC4C3" w14:textId="77777777" w:rsidR="0046551E" w:rsidRDefault="0046551E" w:rsidP="009A2B23">
      <w:pPr>
        <w:spacing w:before="120"/>
        <w:ind w:left="-360" w:right="-3168"/>
        <w:jc w:val="both"/>
        <w:rPr>
          <w:rFonts w:cs="Arial"/>
          <w:i/>
          <w:iCs/>
          <w:sz w:val="16"/>
          <w:szCs w:val="16"/>
        </w:rPr>
      </w:pPr>
    </w:p>
    <w:p w14:paraId="7AE55476" w14:textId="77777777" w:rsidR="0046551E" w:rsidRDefault="0046551E" w:rsidP="009A2B23">
      <w:pPr>
        <w:spacing w:before="120"/>
        <w:ind w:left="-360" w:right="-3168"/>
        <w:jc w:val="both"/>
        <w:rPr>
          <w:rFonts w:cs="Arial"/>
          <w:i/>
          <w:iCs/>
          <w:sz w:val="16"/>
          <w:szCs w:val="16"/>
        </w:rPr>
      </w:pPr>
    </w:p>
    <w:p w14:paraId="4AE63B29" w14:textId="77777777" w:rsidR="0046551E" w:rsidRDefault="0046551E" w:rsidP="009A2B23">
      <w:pPr>
        <w:spacing w:before="120"/>
        <w:ind w:left="-360" w:right="-3168"/>
        <w:jc w:val="both"/>
        <w:rPr>
          <w:rFonts w:cs="Arial"/>
          <w:i/>
          <w:iCs/>
          <w:sz w:val="16"/>
          <w:szCs w:val="16"/>
        </w:rPr>
      </w:pPr>
    </w:p>
    <w:p w14:paraId="7D787D51" w14:textId="77777777" w:rsidR="0046551E" w:rsidRDefault="0046551E" w:rsidP="009A2B23">
      <w:pPr>
        <w:spacing w:before="120"/>
        <w:ind w:left="-360" w:right="-3168"/>
        <w:jc w:val="both"/>
        <w:rPr>
          <w:rFonts w:cs="Arial"/>
          <w:i/>
          <w:iCs/>
          <w:sz w:val="16"/>
          <w:szCs w:val="16"/>
        </w:rPr>
      </w:pPr>
    </w:p>
    <w:p w14:paraId="126C7C12" w14:textId="77777777" w:rsidR="0046551E" w:rsidRDefault="0046551E" w:rsidP="009A2B23">
      <w:pPr>
        <w:spacing w:before="120"/>
        <w:ind w:left="-360" w:right="-3168"/>
        <w:jc w:val="both"/>
        <w:rPr>
          <w:rFonts w:cs="Arial"/>
          <w:i/>
          <w:iCs/>
          <w:sz w:val="16"/>
          <w:szCs w:val="16"/>
        </w:rPr>
      </w:pPr>
    </w:p>
    <w:p w14:paraId="66E08ABD" w14:textId="77777777" w:rsidR="0046551E" w:rsidRDefault="0046551E" w:rsidP="009A2B23">
      <w:pPr>
        <w:spacing w:before="120"/>
        <w:ind w:left="-360" w:right="-3168"/>
        <w:jc w:val="both"/>
        <w:rPr>
          <w:rFonts w:cs="Arial"/>
          <w:i/>
          <w:iCs/>
          <w:sz w:val="16"/>
          <w:szCs w:val="16"/>
        </w:rPr>
      </w:pPr>
    </w:p>
    <w:p w14:paraId="4F376A72" w14:textId="77777777" w:rsidR="0046551E" w:rsidRDefault="0046551E" w:rsidP="009A2B23">
      <w:pPr>
        <w:spacing w:before="120"/>
        <w:ind w:left="-360" w:right="-3168"/>
        <w:jc w:val="both"/>
        <w:rPr>
          <w:rFonts w:cs="Arial"/>
          <w:i/>
          <w:iCs/>
          <w:sz w:val="16"/>
          <w:szCs w:val="16"/>
        </w:rPr>
      </w:pPr>
    </w:p>
    <w:p w14:paraId="1BFB85F0" w14:textId="77777777" w:rsidR="0046551E" w:rsidRDefault="0046551E" w:rsidP="009A2B23">
      <w:pPr>
        <w:spacing w:before="120"/>
        <w:ind w:left="-360" w:right="-3168"/>
        <w:jc w:val="both"/>
        <w:rPr>
          <w:rFonts w:cs="Arial"/>
          <w:i/>
          <w:iCs/>
          <w:sz w:val="16"/>
          <w:szCs w:val="16"/>
        </w:rPr>
      </w:pPr>
    </w:p>
    <w:p w14:paraId="1B4DF898" w14:textId="77777777" w:rsidR="0046551E" w:rsidRDefault="0046551E" w:rsidP="009A2B23">
      <w:pPr>
        <w:spacing w:before="120"/>
        <w:ind w:left="-360" w:right="-3168"/>
        <w:jc w:val="both"/>
        <w:rPr>
          <w:rFonts w:cs="Arial"/>
          <w:i/>
          <w:iCs/>
          <w:sz w:val="16"/>
          <w:szCs w:val="16"/>
        </w:rPr>
      </w:pPr>
    </w:p>
    <w:p w14:paraId="19469FBC" w14:textId="77777777" w:rsid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p>
    <w:p w14:paraId="456AB1D5" w14:textId="77777777" w:rsid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p>
    <w:p w14:paraId="29351D9C" w14:textId="77777777" w:rsid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p>
    <w:p w14:paraId="75BDAC5B" w14:textId="77777777" w:rsid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p>
    <w:p w14:paraId="088A123A" w14:textId="77777777" w:rsidR="00006D56" w:rsidRP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r w:rsidRPr="00006D56">
        <w:rPr>
          <w:rFonts w:ascii="Segoe" w:eastAsia="Calibri" w:hAnsi="Segoe"/>
          <w:b/>
          <w:i/>
          <w:noProof/>
          <w:color w:val="262626" w:themeColor="text1" w:themeTint="D9"/>
          <w:sz w:val="16"/>
          <w:szCs w:val="16"/>
        </w:rPr>
        <w:t>Disclaimer and Copyright Notice</w:t>
      </w:r>
    </w:p>
    <w:p w14:paraId="33E9F597" w14:textId="77777777" w:rsid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317F7660" w14:textId="77777777"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p>
    <w:p w14:paraId="01ED1686" w14:textId="77777777" w:rsid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This White Paper is for informational purposes only.  MICROSOFT MAKES NO WARRANTIES, EXPRESS, IMPLIED, OR STATUTORY, AS TO THE INFORMATION IN THIS DOCUMENT.</w:t>
      </w:r>
    </w:p>
    <w:p w14:paraId="7F85B764" w14:textId="77777777"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p>
    <w:p w14:paraId="47D977AF" w14:textId="77777777"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14:paraId="7CD144D2" w14:textId="77777777" w:rsidR="00006D56" w:rsidRDefault="00006D56" w:rsidP="00006D56">
      <w:pPr>
        <w:pStyle w:val="legalese"/>
        <w:spacing w:after="80"/>
        <w:ind w:left="-360" w:right="-3168"/>
        <w:jc w:val="both"/>
        <w:rPr>
          <w:rFonts w:ascii="Segoe" w:eastAsia="Calibri" w:hAnsi="Segoe"/>
          <w:i/>
          <w:noProof/>
          <w:color w:val="262626" w:themeColor="text1" w:themeTint="D9"/>
          <w:sz w:val="16"/>
          <w:szCs w:val="16"/>
        </w:rPr>
      </w:pPr>
    </w:p>
    <w:p w14:paraId="034A1ABD" w14:textId="77777777"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14:paraId="4CF06E18" w14:textId="77777777" w:rsidR="00006D56" w:rsidRDefault="00006D56" w:rsidP="00006D56">
      <w:pPr>
        <w:pStyle w:val="legalese"/>
        <w:spacing w:after="80"/>
        <w:ind w:left="-360" w:right="-3168"/>
        <w:jc w:val="both"/>
        <w:rPr>
          <w:rFonts w:ascii="Segoe" w:eastAsia="Calibri" w:hAnsi="Segoe"/>
          <w:i/>
          <w:noProof/>
          <w:color w:val="262626" w:themeColor="text1" w:themeTint="D9"/>
          <w:sz w:val="16"/>
          <w:szCs w:val="16"/>
        </w:rPr>
      </w:pPr>
    </w:p>
    <w:p w14:paraId="3EBC79B8" w14:textId="239BAB55"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 xml:space="preserve">© </w:t>
      </w:r>
      <w:r w:rsidR="00501E59">
        <w:rPr>
          <w:rFonts w:ascii="Segoe" w:eastAsia="Calibri" w:hAnsi="Segoe"/>
          <w:i/>
          <w:noProof/>
          <w:color w:val="262626" w:themeColor="text1" w:themeTint="D9"/>
          <w:sz w:val="16"/>
          <w:szCs w:val="16"/>
        </w:rPr>
        <w:t>2010</w:t>
      </w:r>
      <w:r w:rsidR="00E6154F" w:rsidRPr="00006D56">
        <w:rPr>
          <w:rFonts w:ascii="Segoe" w:eastAsia="Calibri" w:hAnsi="Segoe"/>
          <w:i/>
          <w:noProof/>
          <w:color w:val="262626" w:themeColor="text1" w:themeTint="D9"/>
          <w:sz w:val="16"/>
          <w:szCs w:val="16"/>
        </w:rPr>
        <w:t xml:space="preserve"> </w:t>
      </w:r>
      <w:r w:rsidRPr="00006D56">
        <w:rPr>
          <w:rFonts w:ascii="Segoe" w:eastAsia="Calibri" w:hAnsi="Segoe"/>
          <w:i/>
          <w:noProof/>
          <w:color w:val="262626" w:themeColor="text1" w:themeTint="D9"/>
          <w:sz w:val="16"/>
          <w:szCs w:val="16"/>
        </w:rPr>
        <w:t>Microsoft Corporation.  All rights reserved.</w:t>
      </w:r>
    </w:p>
    <w:p w14:paraId="5F966102" w14:textId="77777777"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Microsoft and the Microsoft logo are trademarks of the Microsoft group of companies.</w:t>
      </w:r>
    </w:p>
    <w:p w14:paraId="27146969" w14:textId="77777777" w:rsidR="009A2B23" w:rsidRPr="0046551E" w:rsidRDefault="00006D56" w:rsidP="00006D56">
      <w:pPr>
        <w:pStyle w:val="legalese"/>
        <w:spacing w:after="80"/>
        <w:ind w:left="-360" w:right="-3168"/>
        <w:jc w:val="both"/>
        <w:rPr>
          <w:rFonts w:ascii="Segoe" w:hAnsi="Segoe"/>
          <w:sz w:val="16"/>
          <w:szCs w:val="16"/>
        </w:rPr>
      </w:pPr>
      <w:r w:rsidRPr="00006D56">
        <w:rPr>
          <w:rFonts w:ascii="Segoe" w:eastAsia="Calibri" w:hAnsi="Segoe"/>
          <w:i/>
          <w:noProof/>
          <w:color w:val="262626" w:themeColor="text1" w:themeTint="D9"/>
          <w:sz w:val="16"/>
          <w:szCs w:val="16"/>
        </w:rPr>
        <w:t>All other trademarks are property of their respective owners.</w:t>
      </w:r>
    </w:p>
    <w:p w14:paraId="551CB942" w14:textId="77777777" w:rsidR="00B0549D" w:rsidRDefault="00A26C62">
      <w:pPr>
        <w:spacing w:after="0" w:line="240" w:lineRule="auto"/>
        <w:rPr>
          <w:rFonts w:eastAsia="Times New Roman"/>
          <w:b/>
          <w:bCs/>
          <w:caps/>
          <w:color w:val="CC6600"/>
          <w:spacing w:val="14"/>
          <w:szCs w:val="28"/>
        </w:rPr>
      </w:pPr>
      <w:r>
        <w:rPr>
          <w:noProof/>
          <w:color w:val="E46C0A" w:themeColor="accent6" w:themeShade="BF"/>
        </w:rPr>
        <w:pict>
          <v:rect id="_x0000_s1030" style="position:absolute;margin-left:-7.05pt;margin-top:0;width:626.05pt;height:63pt;z-index:-251589632;mso-wrap-edited:f;mso-position-horizontal-relative:page;mso-position-vertical-relative:page" wrapcoords="-25 0 -25 21257 21600 21257 21600 0 -25 0" fillcolor="#e36c0a" stroked="f">
            <v:textbox inset="0,0,0,0"/>
            <w10:wrap type="tight" anchorx="page" anchory="page"/>
          </v:rect>
        </w:pict>
      </w:r>
      <w:r w:rsidR="00236C6F">
        <w:br w:type="page"/>
      </w:r>
    </w:p>
    <w:p w14:paraId="49FC0A31" w14:textId="77777777" w:rsidR="00C054FE" w:rsidRDefault="00A26C62" w:rsidP="00B0549D">
      <w:pPr>
        <w:pStyle w:val="Heading1"/>
        <w:ind w:left="-360"/>
        <w:rPr>
          <w:color w:val="E46C0A" w:themeColor="accent6" w:themeShade="BF"/>
        </w:rPr>
      </w:pPr>
      <w:bookmarkStart w:id="0" w:name="_Toc252873508"/>
      <w:bookmarkStart w:id="1" w:name="_Toc253393946"/>
      <w:r>
        <w:rPr>
          <w:noProof/>
        </w:rPr>
        <w:lastRenderedPageBreak/>
        <w:pict>
          <v:rect id="_x0000_s1049" style="position:absolute;left:0;text-align:left;margin-left:-9pt;margin-top:0;width:626.05pt;height:63pt;z-index:-251580416;mso-wrap-edited:f;mso-position-horizontal-relative:page;mso-position-vertical-relative:page" wrapcoords="-25 0 -25 21257 21600 21257 21600 0 -25 0" fillcolor="#e36c0a" stroked="f">
            <v:textbox inset="0,0,0,0"/>
            <w10:wrap type="tight" anchorx="page" anchory="page"/>
          </v:rect>
        </w:pict>
      </w:r>
      <w:bookmarkEnd w:id="0"/>
      <w:bookmarkEnd w:id="1"/>
    </w:p>
    <w:p w14:paraId="651FE53F" w14:textId="77777777" w:rsidR="00841FC4" w:rsidRDefault="00841FC4" w:rsidP="00841FC4">
      <w:pPr>
        <w:pStyle w:val="TOCHeading"/>
      </w:pPr>
      <w:r>
        <w:t>Table of Contents</w:t>
      </w:r>
    </w:p>
    <w:p w14:paraId="13AA8DDD" w14:textId="77777777" w:rsidR="00841FC4" w:rsidRPr="00841FC4" w:rsidRDefault="00841FC4" w:rsidP="00841FC4"/>
    <w:p w14:paraId="368076B1" w14:textId="77777777" w:rsidR="00135619" w:rsidRDefault="00841FC4">
      <w:pPr>
        <w:pStyle w:val="TOC1"/>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253393947" w:history="1">
        <w:r w:rsidR="00135619" w:rsidRPr="00B83B13">
          <w:rPr>
            <w:rStyle w:val="Hyperlink"/>
            <w:noProof/>
          </w:rPr>
          <w:t>Introduction</w:t>
        </w:r>
        <w:r w:rsidR="00135619">
          <w:rPr>
            <w:noProof/>
            <w:webHidden/>
          </w:rPr>
          <w:tab/>
        </w:r>
        <w:r w:rsidR="00135619">
          <w:rPr>
            <w:noProof/>
            <w:webHidden/>
          </w:rPr>
          <w:fldChar w:fldCharType="begin"/>
        </w:r>
        <w:r w:rsidR="00135619">
          <w:rPr>
            <w:noProof/>
            <w:webHidden/>
          </w:rPr>
          <w:instrText xml:space="preserve"> PAGEREF _Toc253393947 \h </w:instrText>
        </w:r>
        <w:r w:rsidR="00135619">
          <w:rPr>
            <w:noProof/>
            <w:webHidden/>
          </w:rPr>
        </w:r>
        <w:r w:rsidR="00135619">
          <w:rPr>
            <w:noProof/>
            <w:webHidden/>
          </w:rPr>
          <w:fldChar w:fldCharType="separate"/>
        </w:r>
        <w:r w:rsidR="00135619">
          <w:rPr>
            <w:noProof/>
            <w:webHidden/>
          </w:rPr>
          <w:t>4</w:t>
        </w:r>
        <w:r w:rsidR="00135619">
          <w:rPr>
            <w:noProof/>
            <w:webHidden/>
          </w:rPr>
          <w:fldChar w:fldCharType="end"/>
        </w:r>
      </w:hyperlink>
    </w:p>
    <w:p w14:paraId="795631B3" w14:textId="77777777" w:rsidR="00135619" w:rsidRDefault="00A26C62">
      <w:pPr>
        <w:pStyle w:val="TOC1"/>
        <w:rPr>
          <w:rFonts w:asciiTheme="minorHAnsi" w:eastAsiaTheme="minorEastAsia" w:hAnsiTheme="minorHAnsi" w:cstheme="minorBidi"/>
          <w:noProof/>
          <w:color w:val="auto"/>
          <w:sz w:val="22"/>
        </w:rPr>
      </w:pPr>
      <w:hyperlink w:anchor="_Toc253393948" w:history="1">
        <w:r w:rsidR="00135619" w:rsidRPr="00B83B13">
          <w:rPr>
            <w:rStyle w:val="Hyperlink"/>
            <w:noProof/>
          </w:rPr>
          <w:t>Traditional Automation Methods</w:t>
        </w:r>
        <w:r w:rsidR="00135619">
          <w:rPr>
            <w:noProof/>
            <w:webHidden/>
          </w:rPr>
          <w:tab/>
        </w:r>
        <w:r w:rsidR="00135619">
          <w:rPr>
            <w:noProof/>
            <w:webHidden/>
          </w:rPr>
          <w:fldChar w:fldCharType="begin"/>
        </w:r>
        <w:r w:rsidR="00135619">
          <w:rPr>
            <w:noProof/>
            <w:webHidden/>
          </w:rPr>
          <w:instrText xml:space="preserve"> PAGEREF _Toc253393948 \h </w:instrText>
        </w:r>
        <w:r w:rsidR="00135619">
          <w:rPr>
            <w:noProof/>
            <w:webHidden/>
          </w:rPr>
        </w:r>
        <w:r w:rsidR="00135619">
          <w:rPr>
            <w:noProof/>
            <w:webHidden/>
          </w:rPr>
          <w:fldChar w:fldCharType="separate"/>
        </w:r>
        <w:r w:rsidR="00135619">
          <w:rPr>
            <w:noProof/>
            <w:webHidden/>
          </w:rPr>
          <w:t>4</w:t>
        </w:r>
        <w:r w:rsidR="00135619">
          <w:rPr>
            <w:noProof/>
            <w:webHidden/>
          </w:rPr>
          <w:fldChar w:fldCharType="end"/>
        </w:r>
      </w:hyperlink>
    </w:p>
    <w:p w14:paraId="7ABD9237" w14:textId="77777777" w:rsidR="00135619" w:rsidRDefault="00A26C62">
      <w:pPr>
        <w:pStyle w:val="TOC1"/>
        <w:rPr>
          <w:rFonts w:asciiTheme="minorHAnsi" w:eastAsiaTheme="minorEastAsia" w:hAnsiTheme="minorHAnsi" w:cstheme="minorBidi"/>
          <w:noProof/>
          <w:color w:val="auto"/>
          <w:sz w:val="22"/>
        </w:rPr>
      </w:pPr>
      <w:hyperlink w:anchor="_Toc253393949" w:history="1">
        <w:r w:rsidR="00135619" w:rsidRPr="00B83B13">
          <w:rPr>
            <w:rStyle w:val="Hyperlink"/>
            <w:noProof/>
          </w:rPr>
          <w:t>Beyond Job Scheduling</w:t>
        </w:r>
        <w:r w:rsidR="00135619">
          <w:rPr>
            <w:noProof/>
            <w:webHidden/>
          </w:rPr>
          <w:tab/>
        </w:r>
        <w:r w:rsidR="00135619">
          <w:rPr>
            <w:noProof/>
            <w:webHidden/>
          </w:rPr>
          <w:fldChar w:fldCharType="begin"/>
        </w:r>
        <w:r w:rsidR="00135619">
          <w:rPr>
            <w:noProof/>
            <w:webHidden/>
          </w:rPr>
          <w:instrText xml:space="preserve"> PAGEREF _Toc253393949 \h </w:instrText>
        </w:r>
        <w:r w:rsidR="00135619">
          <w:rPr>
            <w:noProof/>
            <w:webHidden/>
          </w:rPr>
        </w:r>
        <w:r w:rsidR="00135619">
          <w:rPr>
            <w:noProof/>
            <w:webHidden/>
          </w:rPr>
          <w:fldChar w:fldCharType="separate"/>
        </w:r>
        <w:r w:rsidR="00135619">
          <w:rPr>
            <w:noProof/>
            <w:webHidden/>
          </w:rPr>
          <w:t>5</w:t>
        </w:r>
        <w:r w:rsidR="00135619">
          <w:rPr>
            <w:noProof/>
            <w:webHidden/>
          </w:rPr>
          <w:fldChar w:fldCharType="end"/>
        </w:r>
      </w:hyperlink>
    </w:p>
    <w:p w14:paraId="559F414A" w14:textId="77777777" w:rsidR="00135619" w:rsidRDefault="00A26C62">
      <w:pPr>
        <w:pStyle w:val="TOC1"/>
        <w:rPr>
          <w:rFonts w:asciiTheme="minorHAnsi" w:eastAsiaTheme="minorEastAsia" w:hAnsiTheme="minorHAnsi" w:cstheme="minorBidi"/>
          <w:noProof/>
          <w:color w:val="auto"/>
          <w:sz w:val="22"/>
        </w:rPr>
      </w:pPr>
      <w:hyperlink w:anchor="_Toc253393950" w:history="1">
        <w:r w:rsidR="00135619" w:rsidRPr="00B83B13">
          <w:rPr>
            <w:rStyle w:val="Hyperlink"/>
            <w:noProof/>
          </w:rPr>
          <w:t>System Center and Opalis IT PRocess Automation</w:t>
        </w:r>
        <w:r w:rsidR="00135619">
          <w:rPr>
            <w:noProof/>
            <w:webHidden/>
          </w:rPr>
          <w:tab/>
        </w:r>
        <w:r w:rsidR="00135619">
          <w:rPr>
            <w:noProof/>
            <w:webHidden/>
          </w:rPr>
          <w:fldChar w:fldCharType="begin"/>
        </w:r>
        <w:r w:rsidR="00135619">
          <w:rPr>
            <w:noProof/>
            <w:webHidden/>
          </w:rPr>
          <w:instrText xml:space="preserve"> PAGEREF _Toc253393950 \h </w:instrText>
        </w:r>
        <w:r w:rsidR="00135619">
          <w:rPr>
            <w:noProof/>
            <w:webHidden/>
          </w:rPr>
        </w:r>
        <w:r w:rsidR="00135619">
          <w:rPr>
            <w:noProof/>
            <w:webHidden/>
          </w:rPr>
          <w:fldChar w:fldCharType="separate"/>
        </w:r>
        <w:r w:rsidR="00135619">
          <w:rPr>
            <w:noProof/>
            <w:webHidden/>
          </w:rPr>
          <w:t>5</w:t>
        </w:r>
        <w:r w:rsidR="00135619">
          <w:rPr>
            <w:noProof/>
            <w:webHidden/>
          </w:rPr>
          <w:fldChar w:fldCharType="end"/>
        </w:r>
      </w:hyperlink>
    </w:p>
    <w:p w14:paraId="599890B8" w14:textId="77777777" w:rsidR="00135619" w:rsidRDefault="00A26C62" w:rsidP="0014155B">
      <w:pPr>
        <w:pStyle w:val="TOC2"/>
        <w:tabs>
          <w:tab w:val="right" w:leader="dot" w:pos="6930"/>
        </w:tabs>
        <w:rPr>
          <w:rFonts w:asciiTheme="minorHAnsi" w:eastAsiaTheme="minorEastAsia" w:hAnsiTheme="minorHAnsi" w:cstheme="minorBidi"/>
          <w:noProof/>
          <w:color w:val="auto"/>
          <w:sz w:val="22"/>
        </w:rPr>
      </w:pPr>
      <w:hyperlink w:anchor="_Toc253393951" w:history="1">
        <w:r w:rsidR="00135619" w:rsidRPr="00B83B13">
          <w:rPr>
            <w:rStyle w:val="Hyperlink"/>
            <w:noProof/>
          </w:rPr>
          <w:t>Integrating System Center with Non Microsoft Tools</w:t>
        </w:r>
        <w:r w:rsidR="00135619">
          <w:rPr>
            <w:noProof/>
            <w:webHidden/>
          </w:rPr>
          <w:tab/>
        </w:r>
        <w:r w:rsidR="00135619">
          <w:rPr>
            <w:noProof/>
            <w:webHidden/>
          </w:rPr>
          <w:fldChar w:fldCharType="begin"/>
        </w:r>
        <w:r w:rsidR="00135619">
          <w:rPr>
            <w:noProof/>
            <w:webHidden/>
          </w:rPr>
          <w:instrText xml:space="preserve"> PAGEREF _Toc253393951 \h </w:instrText>
        </w:r>
        <w:r w:rsidR="00135619">
          <w:rPr>
            <w:noProof/>
            <w:webHidden/>
          </w:rPr>
        </w:r>
        <w:r w:rsidR="00135619">
          <w:rPr>
            <w:noProof/>
            <w:webHidden/>
          </w:rPr>
          <w:fldChar w:fldCharType="separate"/>
        </w:r>
        <w:r w:rsidR="00135619">
          <w:rPr>
            <w:noProof/>
            <w:webHidden/>
          </w:rPr>
          <w:t>5</w:t>
        </w:r>
        <w:r w:rsidR="00135619">
          <w:rPr>
            <w:noProof/>
            <w:webHidden/>
          </w:rPr>
          <w:fldChar w:fldCharType="end"/>
        </w:r>
      </w:hyperlink>
    </w:p>
    <w:p w14:paraId="4CF4BEB5" w14:textId="77777777" w:rsidR="00135619" w:rsidRDefault="00A26C62" w:rsidP="0014155B">
      <w:pPr>
        <w:pStyle w:val="TOC2"/>
        <w:tabs>
          <w:tab w:val="right" w:leader="dot" w:pos="6930"/>
        </w:tabs>
        <w:rPr>
          <w:rFonts w:asciiTheme="minorHAnsi" w:eastAsiaTheme="minorEastAsia" w:hAnsiTheme="minorHAnsi" w:cstheme="minorBidi"/>
          <w:noProof/>
          <w:color w:val="auto"/>
          <w:sz w:val="22"/>
        </w:rPr>
      </w:pPr>
      <w:hyperlink w:anchor="_Toc253393952" w:history="1">
        <w:r w:rsidR="00135619" w:rsidRPr="00B83B13">
          <w:rPr>
            <w:rStyle w:val="Hyperlink"/>
            <w:noProof/>
          </w:rPr>
          <w:t>Orchestrating System Center tools with 3</w:t>
        </w:r>
        <w:r w:rsidR="00135619" w:rsidRPr="00B83B13">
          <w:rPr>
            <w:rStyle w:val="Hyperlink"/>
            <w:noProof/>
            <w:vertAlign w:val="superscript"/>
          </w:rPr>
          <w:t>rd</w:t>
        </w:r>
        <w:r w:rsidR="00135619" w:rsidRPr="00B83B13">
          <w:rPr>
            <w:rStyle w:val="Hyperlink"/>
            <w:noProof/>
          </w:rPr>
          <w:t xml:space="preserve"> party systems</w:t>
        </w:r>
        <w:r w:rsidR="00135619">
          <w:rPr>
            <w:noProof/>
            <w:webHidden/>
          </w:rPr>
          <w:tab/>
        </w:r>
        <w:r w:rsidR="00135619">
          <w:rPr>
            <w:noProof/>
            <w:webHidden/>
          </w:rPr>
          <w:fldChar w:fldCharType="begin"/>
        </w:r>
        <w:r w:rsidR="00135619">
          <w:rPr>
            <w:noProof/>
            <w:webHidden/>
          </w:rPr>
          <w:instrText xml:space="preserve"> PAGEREF _Toc253393952 \h </w:instrText>
        </w:r>
        <w:r w:rsidR="00135619">
          <w:rPr>
            <w:noProof/>
            <w:webHidden/>
          </w:rPr>
        </w:r>
        <w:r w:rsidR="00135619">
          <w:rPr>
            <w:noProof/>
            <w:webHidden/>
          </w:rPr>
          <w:fldChar w:fldCharType="separate"/>
        </w:r>
        <w:r w:rsidR="00135619">
          <w:rPr>
            <w:noProof/>
            <w:webHidden/>
          </w:rPr>
          <w:t>6</w:t>
        </w:r>
        <w:r w:rsidR="00135619">
          <w:rPr>
            <w:noProof/>
            <w:webHidden/>
          </w:rPr>
          <w:fldChar w:fldCharType="end"/>
        </w:r>
      </w:hyperlink>
    </w:p>
    <w:p w14:paraId="6444F3C1" w14:textId="77777777" w:rsidR="00135619" w:rsidRDefault="00A26C62" w:rsidP="0014155B">
      <w:pPr>
        <w:pStyle w:val="TOC2"/>
        <w:tabs>
          <w:tab w:val="right" w:leader="dot" w:pos="6930"/>
        </w:tabs>
        <w:rPr>
          <w:rFonts w:asciiTheme="minorHAnsi" w:eastAsiaTheme="minorEastAsia" w:hAnsiTheme="minorHAnsi" w:cstheme="minorBidi"/>
          <w:noProof/>
          <w:color w:val="auto"/>
          <w:sz w:val="22"/>
        </w:rPr>
      </w:pPr>
      <w:hyperlink w:anchor="_Toc253393953" w:history="1">
        <w:r w:rsidR="00135619" w:rsidRPr="00B83B13">
          <w:rPr>
            <w:rStyle w:val="Hyperlink"/>
            <w:noProof/>
          </w:rPr>
          <w:t>Automating Processes through Workflow</w:t>
        </w:r>
        <w:r w:rsidR="00135619">
          <w:rPr>
            <w:noProof/>
            <w:webHidden/>
          </w:rPr>
          <w:tab/>
        </w:r>
        <w:r w:rsidR="00135619">
          <w:rPr>
            <w:noProof/>
            <w:webHidden/>
          </w:rPr>
          <w:fldChar w:fldCharType="begin"/>
        </w:r>
        <w:r w:rsidR="00135619">
          <w:rPr>
            <w:noProof/>
            <w:webHidden/>
          </w:rPr>
          <w:instrText xml:space="preserve"> PAGEREF _Toc253393953 \h </w:instrText>
        </w:r>
        <w:r w:rsidR="00135619">
          <w:rPr>
            <w:noProof/>
            <w:webHidden/>
          </w:rPr>
        </w:r>
        <w:r w:rsidR="00135619">
          <w:rPr>
            <w:noProof/>
            <w:webHidden/>
          </w:rPr>
          <w:fldChar w:fldCharType="separate"/>
        </w:r>
        <w:r w:rsidR="00135619">
          <w:rPr>
            <w:noProof/>
            <w:webHidden/>
          </w:rPr>
          <w:t>6</w:t>
        </w:r>
        <w:r w:rsidR="00135619">
          <w:rPr>
            <w:noProof/>
            <w:webHidden/>
          </w:rPr>
          <w:fldChar w:fldCharType="end"/>
        </w:r>
      </w:hyperlink>
    </w:p>
    <w:p w14:paraId="44481053" w14:textId="77777777" w:rsidR="00135619" w:rsidRDefault="00A26C62">
      <w:pPr>
        <w:pStyle w:val="TOC1"/>
        <w:rPr>
          <w:rFonts w:asciiTheme="minorHAnsi" w:eastAsiaTheme="minorEastAsia" w:hAnsiTheme="minorHAnsi" w:cstheme="minorBidi"/>
          <w:noProof/>
          <w:color w:val="auto"/>
          <w:sz w:val="22"/>
        </w:rPr>
      </w:pPr>
      <w:hyperlink w:anchor="_Toc253393954" w:history="1">
        <w:r w:rsidR="00135619" w:rsidRPr="00B83B13">
          <w:rPr>
            <w:rStyle w:val="Hyperlink"/>
            <w:noProof/>
          </w:rPr>
          <w:t>Where to Start</w:t>
        </w:r>
        <w:r w:rsidR="00135619">
          <w:rPr>
            <w:noProof/>
            <w:webHidden/>
          </w:rPr>
          <w:tab/>
        </w:r>
        <w:r w:rsidR="00135619">
          <w:rPr>
            <w:noProof/>
            <w:webHidden/>
          </w:rPr>
          <w:fldChar w:fldCharType="begin"/>
        </w:r>
        <w:r w:rsidR="00135619">
          <w:rPr>
            <w:noProof/>
            <w:webHidden/>
          </w:rPr>
          <w:instrText xml:space="preserve"> PAGEREF _Toc253393954 \h </w:instrText>
        </w:r>
        <w:r w:rsidR="00135619">
          <w:rPr>
            <w:noProof/>
            <w:webHidden/>
          </w:rPr>
        </w:r>
        <w:r w:rsidR="00135619">
          <w:rPr>
            <w:noProof/>
            <w:webHidden/>
          </w:rPr>
          <w:fldChar w:fldCharType="separate"/>
        </w:r>
        <w:r w:rsidR="00135619">
          <w:rPr>
            <w:noProof/>
            <w:webHidden/>
          </w:rPr>
          <w:t>7</w:t>
        </w:r>
        <w:r w:rsidR="00135619">
          <w:rPr>
            <w:noProof/>
            <w:webHidden/>
          </w:rPr>
          <w:fldChar w:fldCharType="end"/>
        </w:r>
      </w:hyperlink>
    </w:p>
    <w:p w14:paraId="6E18798B" w14:textId="77777777" w:rsidR="00841FC4" w:rsidRDefault="00841FC4" w:rsidP="00841FC4">
      <w:pPr>
        <w:pStyle w:val="Heading1"/>
      </w:pPr>
      <w:r>
        <w:fldChar w:fldCharType="end"/>
      </w:r>
    </w:p>
    <w:p w14:paraId="3BFBBB9D" w14:textId="77777777" w:rsidR="00841FC4" w:rsidRDefault="00841FC4" w:rsidP="00841FC4">
      <w:pPr>
        <w:pStyle w:val="Heading1"/>
      </w:pPr>
      <w:r>
        <w:br w:type="page"/>
      </w:r>
    </w:p>
    <w:p w14:paraId="43594216" w14:textId="77777777" w:rsidR="00841FC4" w:rsidRDefault="00841FC4" w:rsidP="00841FC4">
      <w:pPr>
        <w:pStyle w:val="Heading1"/>
      </w:pPr>
    </w:p>
    <w:p w14:paraId="52492DD8" w14:textId="77777777" w:rsidR="00B0549D" w:rsidRPr="00996C13" w:rsidRDefault="00A26C62" w:rsidP="00841FC4">
      <w:pPr>
        <w:pStyle w:val="Heading1"/>
      </w:pPr>
      <w:bookmarkStart w:id="2" w:name="_Toc253393947"/>
      <w:r>
        <w:rPr>
          <w:noProof/>
          <w:color w:val="E46C0A" w:themeColor="accent6" w:themeShade="BF"/>
        </w:rPr>
        <w:pict>
          <v:rect id="_x0000_s1028" style="position:absolute;margin-left:-5pt;margin-top:0;width:626.05pt;height:63pt;z-index:-251610112;mso-wrap-edited:f;mso-position-horizontal-relative:page;mso-position-vertical-relative:page" wrapcoords="-25 0 -25 21257 21600 21257 21600 0 -25 0" fillcolor="#e36c0a" stroked="f">
            <v:textbox inset="0,0,0,0"/>
            <w10:wrap type="tight" anchorx="page" anchory="page"/>
          </v:rect>
        </w:pict>
      </w:r>
      <w:bookmarkStart w:id="3" w:name="_Toc252872786"/>
      <w:r w:rsidR="000320E7" w:rsidRPr="00841FC4">
        <w:t>Introduction</w:t>
      </w:r>
      <w:bookmarkEnd w:id="2"/>
      <w:bookmarkEnd w:id="3"/>
    </w:p>
    <w:p w14:paraId="5C7087DE" w14:textId="77777777" w:rsidR="00841FC4" w:rsidRDefault="00841FC4" w:rsidP="00841FC4">
      <w:r>
        <w:t>IT organizations are under increasing pressure to ensure high service levels and infrastructure efficiency, while lowering operating costs and adhering to best practices. As such, efforts to integrate systems and automate processes have become two key goals for IT organization professionals. Achieving these objectives means improving the level of automation within both production and operations environments.</w:t>
      </w:r>
    </w:p>
    <w:p w14:paraId="641925AA" w14:textId="77777777" w:rsidR="00841FC4" w:rsidRDefault="00841FC4" w:rsidP="00841FC4">
      <w:r>
        <w:t>By increasing the levels of automation and eliminating common, repetitive tasks, companies can reduce operational costs, as well as reduce the amount of specialized staff needed to manage its systems. What’s more, highly skilled IT professionals can be freed up to manage more strategic company projects and initiatives. Although the benefits of automation meets the business objectives of reducing costs, increasing productivity, and maximizing efficiency, the number one concern of IT managers today is integration. Automation itself can be a best practice in many organizations as they struggle to manage—and integrate across—increasingly complex infrastructures, but let’s talk specifically about how automation enables best practices.</w:t>
      </w:r>
    </w:p>
    <w:p w14:paraId="33C6D8AE" w14:textId="77777777" w:rsidR="00841FC4" w:rsidRDefault="00841FC4" w:rsidP="00841FC4">
      <w:r>
        <w:t>Implementing best practices is achieved primarily by defining and automating IT operations management processes. Although most data center tools (monitoring, provisioning, virtualization, service desk, etc.) provide deep task automation within their solutions, they do not automate processes between applications, departments, or data silos. This leaves a substantial amount of manual work for IT staff. Done right, IT Process Automation (ITPA), also commonly known as Run Book Automation (RBA), can greatly expedite service management if they provide the means to integrate and orchestrate IT processes.</w:t>
      </w:r>
    </w:p>
    <w:p w14:paraId="58E7B8B3" w14:textId="77777777" w:rsidR="00841FC4" w:rsidRDefault="00841FC4" w:rsidP="00841FC4">
      <w:pPr>
        <w:pStyle w:val="Heading1"/>
      </w:pPr>
      <w:bookmarkStart w:id="4" w:name="_Toc252872787"/>
      <w:bookmarkStart w:id="5" w:name="_Toc253393948"/>
      <w:r>
        <w:t>Traditional Automation Methods</w:t>
      </w:r>
      <w:bookmarkEnd w:id="4"/>
      <w:bookmarkEnd w:id="5"/>
    </w:p>
    <w:p w14:paraId="4CA59101" w14:textId="5C4EA603" w:rsidR="00841FC4" w:rsidRDefault="00841FC4" w:rsidP="00841FC4">
      <w:r>
        <w:t xml:space="preserve">Traditional automation methods, namely custom coding and scripts, are useful for running simple tasks, however, they typically lack best practices, change management, documentation, and the flexibility required in an operations environment, where business rules and configuration settings change frequently. </w:t>
      </w:r>
    </w:p>
    <w:p w14:paraId="06B8B560" w14:textId="5043B334" w:rsidR="00841FC4" w:rsidRDefault="00841FC4" w:rsidP="00841FC4">
      <w:r>
        <w:t>Traditional automation methods, namely job schedulers, run and monitor batch jobs. Although job scheduling comprises an important function in a production-computing environment, it is not well suited to automate operational processes or run book procedures, as they provide little to no integration with surrounding systems.</w:t>
      </w:r>
    </w:p>
    <w:p w14:paraId="267B04C9" w14:textId="77777777" w:rsidR="00841FC4" w:rsidRDefault="00841FC4" w:rsidP="00841FC4">
      <w:r>
        <w:t xml:space="preserve">Due to the recent recognition of this market by both IT organizations and leading industry analyst firms alike, some companies have attempted to accomplish the equivalent of what is now known as ITPA, by running lengthy </w:t>
      </w:r>
      <w:r>
        <w:lastRenderedPageBreak/>
        <w:t>scripts with a job scheduler. This technique is costly, unreliable, and error-prone.</w:t>
      </w:r>
    </w:p>
    <w:p w14:paraId="587363B7" w14:textId="77777777" w:rsidR="00841FC4" w:rsidRDefault="00841FC4" w:rsidP="00841FC4">
      <w:r>
        <w:t>While scripts and schedulers work well for small tasks, they can rarely scale to handle complex environments. They also lack sophisticated dependencies and reporting that allow users to keep audit trails of processes. As process requirements grow, and more functionality is added, the result is a complex mix of scripts, programs, and utilities that only a few people actually understand. More concerning is that home-grown scripts can quickly turn into a fulltime programming commitment as well as a time-consuming and costly management burden.</w:t>
      </w:r>
    </w:p>
    <w:p w14:paraId="5DC5555F" w14:textId="77777777" w:rsidR="00841FC4" w:rsidRDefault="00841FC4" w:rsidP="00841FC4">
      <w:pPr>
        <w:pStyle w:val="Heading1"/>
      </w:pPr>
      <w:bookmarkStart w:id="6" w:name="_Toc253393949"/>
      <w:r>
        <w:t>Beyond Job Scheduling</w:t>
      </w:r>
      <w:bookmarkEnd w:id="6"/>
    </w:p>
    <w:p w14:paraId="7668FAF2" w14:textId="77777777" w:rsidR="00841FC4" w:rsidRDefault="00841FC4" w:rsidP="00841FC4">
      <w:r>
        <w:t xml:space="preserve">ITPA solutions include many of the features and capabilities users require in a job scheduler, while also providing more advanced functions. IT process automation software can automate any administrative,  maintenance, or business processes, such as restarting services, rotating logs, backing up data, deleting temporary files, and e-mailing files. It can also run several jobs on multiple machines, modify accounts, </w:t>
      </w:r>
      <w:proofErr w:type="gramStart"/>
      <w:r>
        <w:t>query</w:t>
      </w:r>
      <w:proofErr w:type="gramEnd"/>
      <w:r>
        <w:t xml:space="preserve"> databases, up load data and filter/read/send e-mail. In addition to standard enterprise requirements like load balancing, failover, failure routines, error handling, and logging, ITPA should also provide integration, orchestration, and process workflow. </w:t>
      </w:r>
    </w:p>
    <w:p w14:paraId="48360F4A" w14:textId="18DC2D58" w:rsidR="00841FC4" w:rsidRPr="008974A9" w:rsidRDefault="008974A9" w:rsidP="008974A9">
      <w:pPr>
        <w:pStyle w:val="Heading1"/>
      </w:pPr>
      <w:bookmarkStart w:id="7" w:name="_Toc253393950"/>
      <w:r>
        <w:t>System Center and Opalis</w:t>
      </w:r>
      <w:r w:rsidR="00841FC4">
        <w:t xml:space="preserve"> </w:t>
      </w:r>
      <w:r>
        <w:t xml:space="preserve">IT PRocess </w:t>
      </w:r>
      <w:r w:rsidR="00841FC4">
        <w:t>Automation</w:t>
      </w:r>
      <w:bookmarkEnd w:id="7"/>
      <w:r w:rsidR="00841FC4">
        <w:t xml:space="preserve"> </w:t>
      </w:r>
    </w:p>
    <w:p w14:paraId="42A55846" w14:textId="77777777" w:rsidR="008974A9" w:rsidRDefault="008974A9" w:rsidP="008974A9">
      <w:r>
        <w:t>System Center lowers the cost of delivering datacenter services through integrated, end-to-end management of physical and virtual environments. Through adopting System Center, customers are able to standardize their datacenter management environment for significantly lower costs than competitive solutions while implementing best practices that can deliver thousands of dollars of operational savings each year. This is delivered through simplified management of the datacenter via an integrated set of tools that automate server management and optimize the use of server and datacenter resources.</w:t>
      </w:r>
    </w:p>
    <w:p w14:paraId="78AD2B92" w14:textId="09B8623A" w:rsidR="008974A9" w:rsidRPr="008974A9" w:rsidRDefault="008974A9" w:rsidP="008974A9">
      <w:r>
        <w:t xml:space="preserve">As a part of the System Center portfolio, Opalis IT Process Automation extends automation, optimization and simplification by orchestrating and integrating System Center with non-Microsoft systems to enable interoperability across the entire datacenter. </w:t>
      </w:r>
      <w:r w:rsidRPr="008974A9">
        <w:t xml:space="preserve">The </w:t>
      </w:r>
      <w:r>
        <w:t>combined</w:t>
      </w:r>
      <w:r w:rsidRPr="008974A9">
        <w:t xml:space="preserve"> offering reduces the cost of delivering and managing datacenter services by:</w:t>
      </w:r>
    </w:p>
    <w:p w14:paraId="5CF56A17" w14:textId="5D8F3CD9" w:rsidR="00841FC4" w:rsidRDefault="00841FC4" w:rsidP="00841FC4">
      <w:pPr>
        <w:pStyle w:val="Heading2"/>
      </w:pPr>
      <w:bookmarkStart w:id="8" w:name="_Toc253393951"/>
      <w:r>
        <w:t>Integrati</w:t>
      </w:r>
      <w:r w:rsidR="008974A9">
        <w:t>ng System Center with Non Microsoft Tools</w:t>
      </w:r>
      <w:bookmarkEnd w:id="8"/>
    </w:p>
    <w:p w14:paraId="4DF3D6E3" w14:textId="5793AA38" w:rsidR="00841FC4" w:rsidRDefault="00841FC4" w:rsidP="00841FC4">
      <w:r>
        <w:t xml:space="preserve">Integration is a key component to IT process automation solutions, as it provides the ability to query, modify, collect, parse, and pass data between systems and products. </w:t>
      </w:r>
      <w:r w:rsidR="008974A9">
        <w:t xml:space="preserve">Opalis </w:t>
      </w:r>
      <w:r>
        <w:t xml:space="preserve">uses data to make decisions, to dynamically configure task parameters with relevant run-time data, and to update systems such as </w:t>
      </w:r>
      <w:r w:rsidR="008974A9">
        <w:t xml:space="preserve">Configuration Manager </w:t>
      </w:r>
      <w:r>
        <w:t xml:space="preserve">and </w:t>
      </w:r>
      <w:r w:rsidR="008974A9">
        <w:t>Service Manager</w:t>
      </w:r>
      <w:r>
        <w:t xml:space="preserve"> with process information. This gives IT organizations the ability to update one or all systems with detailed information on a process. It also ensures help desk staff, and level 1-2-3 support staff has access to problem status. </w:t>
      </w:r>
    </w:p>
    <w:p w14:paraId="1E8796D6" w14:textId="029A2DBD" w:rsidR="00841FC4" w:rsidRDefault="00841FC4" w:rsidP="00841FC4">
      <w:pPr>
        <w:pStyle w:val="Heading2"/>
      </w:pPr>
      <w:bookmarkStart w:id="9" w:name="_Toc253393952"/>
      <w:r>
        <w:lastRenderedPageBreak/>
        <w:t>Orchestrati</w:t>
      </w:r>
      <w:r w:rsidR="008974A9">
        <w:t>ng System Center tools with 3</w:t>
      </w:r>
      <w:r w:rsidR="008974A9" w:rsidRPr="008974A9">
        <w:rPr>
          <w:vertAlign w:val="superscript"/>
        </w:rPr>
        <w:t>rd</w:t>
      </w:r>
      <w:r w:rsidR="008974A9">
        <w:t xml:space="preserve"> party systems</w:t>
      </w:r>
      <w:bookmarkEnd w:id="9"/>
      <w:r>
        <w:t xml:space="preserve"> </w:t>
      </w:r>
    </w:p>
    <w:p w14:paraId="52B25773" w14:textId="56F607D3" w:rsidR="00841FC4" w:rsidRDefault="00841FC4" w:rsidP="00841FC4">
      <w:r>
        <w:t xml:space="preserve">ITPA also requires intelligent orchestration capabilities so it can initiate actions within third party systems. The </w:t>
      </w:r>
      <w:r w:rsidR="008974A9">
        <w:t xml:space="preserve">Opalis </w:t>
      </w:r>
      <w:r>
        <w:t>orchestration engine works in conjunction with integration capabilities to read results of these actions to determine next steps and to log/report on each step within the process. This is paramount for tracking change requests and maintenance procedures that interact with multiple systems and impact service availability.</w:t>
      </w:r>
    </w:p>
    <w:p w14:paraId="1ED1AA1A" w14:textId="71D6E651" w:rsidR="00841FC4" w:rsidRDefault="008974A9" w:rsidP="00841FC4">
      <w:pPr>
        <w:pStyle w:val="Heading2"/>
      </w:pPr>
      <w:bookmarkStart w:id="10" w:name="_Toc253393953"/>
      <w:r>
        <w:t>Automating Processes through</w:t>
      </w:r>
      <w:r w:rsidR="00841FC4">
        <w:t xml:space="preserve"> Workflow</w:t>
      </w:r>
      <w:bookmarkEnd w:id="10"/>
    </w:p>
    <w:p w14:paraId="533511CA" w14:textId="2F9A2132" w:rsidR="007134A9" w:rsidRDefault="007134A9" w:rsidP="00841FC4">
      <w:pPr>
        <w:rPr>
          <w:i/>
          <w:noProof/>
          <w:sz w:val="19"/>
          <w:szCs w:val="21"/>
        </w:rPr>
      </w:pPr>
      <w:r>
        <w:rPr>
          <w:i/>
          <w:noProof/>
          <w:sz w:val="19"/>
          <w:szCs w:val="21"/>
        </w:rPr>
        <w:drawing>
          <wp:anchor distT="0" distB="0" distL="114300" distR="114300" simplePos="0" relativeHeight="251738112" behindDoc="0" locked="0" layoutInCell="1" allowOverlap="1" wp14:editId="0ED54FD0">
            <wp:simplePos x="0" y="0"/>
            <wp:positionH relativeFrom="margin">
              <wp:posOffset>57150</wp:posOffset>
            </wp:positionH>
            <wp:positionV relativeFrom="margin">
              <wp:posOffset>2962275</wp:posOffset>
            </wp:positionV>
            <wp:extent cx="3933825" cy="2828925"/>
            <wp:effectExtent l="171450" t="171450" r="371475" b="3524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WithMicrosoftProduct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3825" cy="2828925"/>
                    </a:xfrm>
                    <a:prstGeom prst="rect">
                      <a:avLst/>
                    </a:prstGeom>
                    <a:ln>
                      <a:noFill/>
                    </a:ln>
                    <a:effectLst>
                      <a:outerShdw blurRad="292100" dist="139700" dir="2700000" algn="tl" rotWithShape="0">
                        <a:srgbClr xmlns:a14="http://schemas.microsoft.com/office/drawing/2010/main" val="333333" mc:Ignorable="">
                          <a:alpha val="65000"/>
                        </a:srgbClr>
                      </a:outerShdw>
                    </a:effectLst>
                  </pic:spPr>
                </pic:pic>
              </a:graphicData>
            </a:graphic>
          </wp:anchor>
        </w:drawing>
      </w:r>
      <w:r w:rsidR="00A26C62">
        <w:rPr>
          <w:rFonts w:ascii="Calibri" w:hAnsi="Calibri"/>
          <w:color w:val="auto"/>
          <w:sz w:val="22"/>
        </w:rPr>
        <w:pict>
          <v:shape id="_x0000_s1045" type="#_x0000_t202" style="position:absolute;margin-left:169.4pt;margin-top:140.1pt;width:44.15pt;height:28.95pt;z-index:251731968;mso-position-horizontal-relative:text;mso-position-vertical-relative:text" filled="f" stroked="f">
            <v:textbox style="mso-next-textbox:#_x0000_s1045">
              <w:txbxContent>
                <w:p w14:paraId="25F1B382" w14:textId="77777777" w:rsidR="00841FC4" w:rsidRDefault="00841FC4" w:rsidP="00841FC4">
                  <w:pPr>
                    <w:rPr>
                      <w:b/>
                      <w:color w:val="FFFFFF"/>
                      <w:sz w:val="36"/>
                    </w:rPr>
                  </w:pPr>
                  <w:r>
                    <w:rPr>
                      <w:b/>
                      <w:color w:val="FFFFFF"/>
                      <w:sz w:val="36"/>
                    </w:rPr>
                    <w:t>3</w:t>
                  </w:r>
                </w:p>
              </w:txbxContent>
            </v:textbox>
          </v:shape>
        </w:pict>
      </w:r>
      <w:r w:rsidR="008974A9">
        <w:t>Opalis w</w:t>
      </w:r>
      <w:r w:rsidR="00841FC4">
        <w:t xml:space="preserve">orkflow not only provides visual insight as to the nature of a process, it also delivers </w:t>
      </w:r>
      <w:r w:rsidR="008974A9">
        <w:t>decision making logic and dependency</w:t>
      </w:r>
      <w:r w:rsidR="00841FC4">
        <w:t xml:space="preserve"> support need</w:t>
      </w:r>
      <w:r w:rsidR="008974A9">
        <w:t>ed</w:t>
      </w:r>
      <w:r w:rsidR="00841FC4">
        <w:t xml:space="preserve"> to automate complex processes.</w:t>
      </w:r>
      <w:r w:rsidR="00A26C62">
        <w:rPr>
          <w:rFonts w:ascii="Calibri" w:hAnsi="Calibri"/>
          <w:color w:val="auto"/>
          <w:sz w:val="22"/>
        </w:rPr>
        <w:pict>
          <v:shape id="_x0000_s1048" type="#_x0000_t202" style="position:absolute;margin-left:507.3pt;margin-top:673.45pt;width:44.15pt;height:28.95pt;z-index:251735040;mso-position-horizontal-relative:text;mso-position-vertical-relative:text" filled="f" stroked="f">
            <v:textbox style="mso-next-textbox:#_x0000_s1048">
              <w:txbxContent>
                <w:p w14:paraId="67BBEA71" w14:textId="77777777" w:rsidR="00841FC4" w:rsidRDefault="00841FC4" w:rsidP="00841FC4">
                  <w:pPr>
                    <w:rPr>
                      <w:b/>
                      <w:color w:val="FFFFFF"/>
                      <w:sz w:val="36"/>
                    </w:rPr>
                  </w:pPr>
                  <w:r>
                    <w:rPr>
                      <w:b/>
                      <w:color w:val="FFFFFF"/>
                      <w:sz w:val="36"/>
                    </w:rPr>
                    <w:t>4</w:t>
                  </w:r>
                </w:p>
              </w:txbxContent>
            </v:textbox>
          </v:shape>
        </w:pict>
      </w:r>
      <w:r w:rsidR="008974A9">
        <w:t xml:space="preserve">  Opalis w</w:t>
      </w:r>
      <w:r w:rsidR="00841FC4">
        <w:t xml:space="preserve">orkflow also enables branching capabilities, useful for creating </w:t>
      </w:r>
      <w:r w:rsidR="00A26C62">
        <w:rPr>
          <w:rFonts w:ascii="Calibri" w:hAnsi="Calibri"/>
          <w:color w:val="auto"/>
          <w:sz w:val="22"/>
        </w:rPr>
        <w:pict>
          <v:shape id="_x0000_s1046" type="#_x0000_t202" style="position:absolute;margin-left:503.5pt;margin-top:672.45pt;width:44.15pt;height:28.95pt;z-index:251732992;mso-position-horizontal-relative:text;mso-position-vertical-relative:text" filled="f" stroked="f">
            <v:textbox style="mso-next-textbox:#_x0000_s1046">
              <w:txbxContent>
                <w:p w14:paraId="55AB8461" w14:textId="77777777" w:rsidR="00841FC4" w:rsidRDefault="00841FC4" w:rsidP="00841FC4">
                  <w:pPr>
                    <w:rPr>
                      <w:b/>
                      <w:color w:val="FFFFFF"/>
                      <w:sz w:val="36"/>
                    </w:rPr>
                  </w:pPr>
                  <w:r>
                    <w:rPr>
                      <w:b/>
                      <w:color w:val="FFFFFF"/>
                      <w:sz w:val="36"/>
                    </w:rPr>
                    <w:t>4</w:t>
                  </w:r>
                </w:p>
              </w:txbxContent>
            </v:textbox>
          </v:shape>
        </w:pict>
      </w:r>
      <w:r w:rsidR="00841FC4">
        <w:t xml:space="preserve">incident </w:t>
      </w:r>
      <w:r w:rsidR="008974A9">
        <w:t>response</w:t>
      </w:r>
      <w:r w:rsidR="00841FC4">
        <w:t xml:space="preserve"> routines that handle a range of errors and conditions. </w:t>
      </w:r>
      <w:r w:rsidR="00841FC4">
        <w:rPr>
          <w:sz w:val="19"/>
          <w:szCs w:val="21"/>
        </w:rPr>
        <w:t>The main workflow can define the expected process, while branches are used for exception cases, error handling and escalation routines.</w:t>
      </w:r>
      <w:r w:rsidR="00841FC4" w:rsidRPr="00841FC4">
        <w:rPr>
          <w:i/>
          <w:noProof/>
          <w:sz w:val="19"/>
          <w:szCs w:val="21"/>
        </w:rPr>
        <w:t xml:space="preserve"> </w:t>
      </w:r>
    </w:p>
    <w:p w14:paraId="6C775A52" w14:textId="3291C227" w:rsidR="00841FC4" w:rsidRDefault="007134A9" w:rsidP="007134A9">
      <w:pPr>
        <w:jc w:val="center"/>
        <w:rPr>
          <w:sz w:val="19"/>
          <w:szCs w:val="21"/>
        </w:rPr>
      </w:pPr>
      <w:r w:rsidRPr="007134A9">
        <w:rPr>
          <w:rStyle w:val="IntenseEmphasis"/>
          <w:i w:val="0"/>
        </w:rPr>
        <w:t>Opalis Workflow Designer</w:t>
      </w:r>
    </w:p>
    <w:p w14:paraId="52E086A7" w14:textId="77777777" w:rsidR="00135619" w:rsidRDefault="00135619">
      <w:pPr>
        <w:spacing w:after="0" w:line="240" w:lineRule="auto"/>
        <w:rPr>
          <w:rFonts w:eastAsia="Times New Roman"/>
          <w:b/>
          <w:bCs/>
          <w:caps/>
          <w:color w:val="CC6600"/>
          <w:spacing w:val="14"/>
          <w:szCs w:val="28"/>
        </w:rPr>
      </w:pPr>
      <w:r>
        <w:br w:type="page"/>
      </w:r>
      <w:bookmarkStart w:id="11" w:name="_GoBack"/>
      <w:bookmarkEnd w:id="11"/>
    </w:p>
    <w:p w14:paraId="39D0E271" w14:textId="15860E55" w:rsidR="00841FC4" w:rsidRDefault="00841FC4" w:rsidP="00841FC4">
      <w:pPr>
        <w:pStyle w:val="Heading1"/>
        <w:rPr>
          <w:szCs w:val="22"/>
        </w:rPr>
      </w:pPr>
      <w:bookmarkStart w:id="12" w:name="_Toc253393954"/>
      <w:r>
        <w:lastRenderedPageBreak/>
        <w:t>Where to Start</w:t>
      </w:r>
      <w:bookmarkEnd w:id="12"/>
    </w:p>
    <w:p w14:paraId="1D8BDD0C" w14:textId="06AF7E1F" w:rsidR="00841FC4" w:rsidRDefault="00135619" w:rsidP="00841FC4">
      <w:r>
        <w:t xml:space="preserve">To summarize, </w:t>
      </w:r>
      <w:r w:rsidR="008974A9">
        <w:t xml:space="preserve">Opalis </w:t>
      </w:r>
      <w:r w:rsidR="00841FC4">
        <w:t xml:space="preserve">IT Process Automation helps to automate, integrate, and orchestrate operational processes across multiple data, departmental, and application silos. </w:t>
      </w:r>
      <w:r>
        <w:t>System Center and Opalis a</w:t>
      </w:r>
      <w:r w:rsidR="00841FC4">
        <w:t>utomation can enable and enforce best practices in an IT organization</w:t>
      </w:r>
      <w:r>
        <w:t xml:space="preserve"> and help</w:t>
      </w:r>
      <w:r w:rsidR="00841FC4">
        <w:t xml:space="preserve"> align IT services with business objectives through repeatable, reliable, and standardized best practices.</w:t>
      </w:r>
    </w:p>
    <w:p w14:paraId="19ABE097" w14:textId="1A0CA6EA" w:rsidR="00841FC4" w:rsidRDefault="00841FC4" w:rsidP="00841FC4">
      <w:r>
        <w:t>Initiatives such as ITIL and MOF outline best practices for all IT activities. The service support areas of ITIL; incident, problem, configuration, change, and release management make up the daily operational tasks within IT. With many companies embracing ITIL best practices, it’s a good place to start with automation since these are the most critical areas of IT operations today. And, how else can you ensure best practices and processes are truly followed, unless with automation?</w:t>
      </w:r>
    </w:p>
    <w:p w14:paraId="71D3C26A" w14:textId="77777777" w:rsidR="00841FC4" w:rsidRPr="003B3B45" w:rsidRDefault="00841FC4" w:rsidP="00841FC4">
      <w:pPr>
        <w:ind w:left="-360"/>
      </w:pPr>
    </w:p>
    <w:sectPr w:rsidR="00841FC4" w:rsidRPr="003B3B45" w:rsidSect="006F4CE2">
      <w:headerReference w:type="default" r:id="rId14"/>
      <w:footerReference w:type="default" r:id="rId15"/>
      <w:headerReference w:type="first" r:id="rId16"/>
      <w:footerReference w:type="first" r:id="rId17"/>
      <w:footnotePr>
        <w:numRestart w:val="eachPage"/>
      </w:footnotePr>
      <w:pgSz w:w="12240" w:h="15840"/>
      <w:pgMar w:top="1260" w:right="351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FC4BD" w14:textId="77777777" w:rsidR="00E50614" w:rsidRDefault="00E50614" w:rsidP="00B0549D">
      <w:pPr>
        <w:spacing w:after="0" w:line="240" w:lineRule="auto"/>
      </w:pPr>
      <w:r>
        <w:separator/>
      </w:r>
    </w:p>
  </w:endnote>
  <w:endnote w:type="continuationSeparator" w:id="0">
    <w:p w14:paraId="702FE440" w14:textId="77777777" w:rsidR="00E50614" w:rsidRDefault="00E50614" w:rsidP="00B0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w:altName w:val="Segoe"/>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30682"/>
      <w:docPartObj>
        <w:docPartGallery w:val="Page Numbers (Bottom of Page)"/>
        <w:docPartUnique/>
      </w:docPartObj>
    </w:sdtPr>
    <w:sdtEndPr>
      <w:rPr>
        <w:color w:val="808080" w:themeColor="background1" w:themeShade="7F"/>
        <w:spacing w:val="60"/>
      </w:rPr>
    </w:sdtEndPr>
    <w:sdtContent>
      <w:p w14:paraId="6268708B" w14:textId="67803C64" w:rsidR="00056E98" w:rsidRDefault="00056E98">
        <w:pPr>
          <w:pStyle w:val="Footer"/>
          <w:pBdr>
            <w:top w:val="single" w:sz="4" w:space="1" w:color="D9D9D9" w:themeColor="background1" w:themeShade="D9"/>
          </w:pBdr>
          <w:rPr>
            <w:b/>
          </w:rPr>
        </w:pPr>
        <w:r>
          <w:fldChar w:fldCharType="begin"/>
        </w:r>
        <w:r>
          <w:instrText xml:space="preserve"> PAGE   \* MERGEFORMAT </w:instrText>
        </w:r>
        <w:r>
          <w:fldChar w:fldCharType="separate"/>
        </w:r>
        <w:r w:rsidR="00A26C62" w:rsidRPr="00A26C62">
          <w:rPr>
            <w:b/>
            <w:noProof/>
          </w:rPr>
          <w:t>7</w:t>
        </w:r>
        <w:r>
          <w:rPr>
            <w:b/>
            <w:noProof/>
          </w:rPr>
          <w:fldChar w:fldCharType="end"/>
        </w:r>
        <w:r>
          <w:rPr>
            <w:b/>
          </w:rPr>
          <w:t xml:space="preserve"> | </w:t>
        </w:r>
        <w:r>
          <w:rPr>
            <w:color w:val="808080" w:themeColor="background1" w:themeShade="7F"/>
            <w:spacing w:val="60"/>
          </w:rPr>
          <w:t>Page</w:t>
        </w:r>
      </w:p>
    </w:sdtContent>
  </w:sdt>
  <w:p w14:paraId="3A575DB7" w14:textId="77777777" w:rsidR="00056E98" w:rsidRDefault="00056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FC83B" w14:textId="4931506E" w:rsidR="003A188D" w:rsidRDefault="003A188D">
    <w:pPr>
      <w:pStyle w:val="Footer"/>
    </w:pPr>
    <w:r>
      <w:rPr>
        <w:noProof/>
      </w:rPr>
      <w:drawing>
        <wp:anchor distT="0" distB="0" distL="114300" distR="114300" simplePos="0" relativeHeight="251725824" behindDoc="0" locked="0" layoutInCell="1" allowOverlap="1" wp14:editId="03E7735E">
          <wp:simplePos x="0" y="0"/>
          <wp:positionH relativeFrom="column">
            <wp:posOffset>5372100</wp:posOffset>
          </wp:positionH>
          <wp:positionV relativeFrom="paragraph">
            <wp:posOffset>29845</wp:posOffset>
          </wp:positionV>
          <wp:extent cx="1400175" cy="228600"/>
          <wp:effectExtent l="19050" t="0" r="9525" b="0"/>
          <wp:wrapNone/>
          <wp:docPr id="16" name="Picture 2"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92601" w14:textId="77777777" w:rsidR="00E50614" w:rsidRDefault="00E50614" w:rsidP="00B0549D">
      <w:pPr>
        <w:spacing w:after="0" w:line="240" w:lineRule="auto"/>
      </w:pPr>
      <w:r>
        <w:separator/>
      </w:r>
    </w:p>
  </w:footnote>
  <w:footnote w:type="continuationSeparator" w:id="0">
    <w:p w14:paraId="14569E30" w14:textId="77777777" w:rsidR="00E50614" w:rsidRDefault="00E50614" w:rsidP="00B05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90C2" w14:textId="77777777" w:rsidR="00DF66F1" w:rsidRDefault="00A26C62">
    <w:pPr>
      <w:pStyle w:val="Header"/>
    </w:pPr>
    <w:r>
      <w:rPr>
        <w:noProof/>
      </w:rPr>
      <w:pict>
        <v:rect id="_x0000_s2071" style="position:absolute;margin-left:454.8pt;margin-top:0;width:206.95pt;height:63pt;z-index:-251596800;mso-wrap-edited:f;mso-position-horizontal-relative:page;mso-position-vertical-relative:page" wrapcoords="-25 0 -25 21257 21600 21257 21600 0 -25 0" fillcolor="#e36c0a" stroked="f">
          <v:textbox inset="0,0,0,0"/>
          <w10:wrap anchorx="page" anchory="page"/>
        </v:rect>
      </w:pict>
    </w:r>
    <w:r>
      <w:rPr>
        <w:noProof/>
      </w:rPr>
      <w:pict>
        <v:rect id="_x0000_s2074" style="position:absolute;margin-left:382.8pt;margin-top:27pt;width:206.95pt;height:657pt;z-index:-251592704;mso-wrap-edited:f" fillcolor="white [3212]" stroked="f">
          <v:fill color2="#eae9ea" rotate="t" o:detectmouseclick="t" focusposition="1" focussize="" type="gradient"/>
          <v:shadow opacity="33423f" offset="-.62789mm,.31992mm"/>
          <v:textbox inset="14.4pt,14.4pt,14.4pt,14.4pt"/>
        </v:rect>
      </w:pict>
    </w:r>
    <w:r>
      <w:rPr>
        <w:noProof/>
      </w:rPr>
      <w:pict>
        <v:shapetype id="_x0000_t202" coordsize="21600,21600" o:spt="202" path="m,l,21600r21600,l21600,xe">
          <v:stroke joinstyle="miter"/>
          <v:path gradientshapeok="t" o:connecttype="rect"/>
        </v:shapetype>
        <v:shape id="_x0000_s2072" type="#_x0000_t202" style="position:absolute;margin-left:433.4pt;margin-top:47.8pt;width:165pt;height:636.2pt;z-index:251721728;mso-wrap-edited:f;mso-position-horizontal-relative:page" wrapcoords="0 0 21600 0 21600 21600 0 21600 0 0" filled="f" fillcolor="white [3212]" stroked="f">
          <v:fill color2="#e2dedc" rotate="t" o:detectmouseclick="t" type="gradient"/>
          <v:textbox style="mso-next-textbox:#_x0000_s2072" inset=",7.2pt,,7.2pt">
            <w:txbxContent>
              <w:p w14:paraId="7234FA9D" w14:textId="77777777" w:rsidR="00DF66F1" w:rsidRDefault="00DF66F1"/>
            </w:txbxContent>
          </v:textbox>
          <w10:wrap type="tight"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84D1C" w14:textId="77777777" w:rsidR="00EA7587" w:rsidRDefault="00A26C62" w:rsidP="00EA7587">
    <w:pPr>
      <w:pStyle w:val="Header"/>
      <w:tabs>
        <w:tab w:val="clear" w:pos="4680"/>
        <w:tab w:val="clear" w:pos="9360"/>
        <w:tab w:val="left" w:pos="2130"/>
      </w:tabs>
    </w:pPr>
    <w:r>
      <w:rPr>
        <w:noProof/>
      </w:rPr>
      <w:pict>
        <v:rect id="_x0000_s2070" style="position:absolute;margin-left:454.8pt;margin-top:0;width:206.95pt;height:63pt;z-index:-251598848;mso-wrap-edited:f;mso-position-horizontal-relative:page;mso-position-vertical-relative:page" wrapcoords="-25 0 -25 21257 21600 21257 21600 0 -25 0" fillcolor="#e36c0a" stroked="f">
          <v:textbox inset="0,0,0,0"/>
          <w10:wrap anchorx="page" anchory="page"/>
        </v:rect>
      </w:pict>
    </w:r>
    <w:r>
      <w:rPr>
        <w:noProof/>
      </w:rPr>
      <w:pict>
        <v:rect id="_x0000_s2073" style="position:absolute;margin-left:382.8pt;margin-top:27pt;width:206.95pt;height:657pt;z-index:-251593728;mso-wrap-edited:f" fillcolor="white [3212]" stroked="f">
          <v:fill color2="#eae9ea" rotate="t" o:detectmouseclick="t" focusposition="1" focussize="" type="gradient"/>
          <v:shadow opacity="33423f" offset="-.62789mm,.31992mm"/>
          <v:textbox inset="14.4pt,14.4pt,14.4pt,14.4pt"/>
        </v:rect>
      </w:pict>
    </w:r>
    <w:r w:rsidR="00EA758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BD15057_"/>
      </v:shape>
    </w:pict>
  </w:numPicBullet>
  <w:abstractNum w:abstractNumId="0">
    <w:nsid w:val="FFFFFF7C"/>
    <w:multiLevelType w:val="singleLevel"/>
    <w:tmpl w:val="3F6ECC4E"/>
    <w:lvl w:ilvl="0">
      <w:start w:val="1"/>
      <w:numFmt w:val="decimal"/>
      <w:lvlText w:val="%1."/>
      <w:lvlJc w:val="left"/>
      <w:pPr>
        <w:tabs>
          <w:tab w:val="num" w:pos="1800"/>
        </w:tabs>
        <w:ind w:left="1800" w:hanging="360"/>
      </w:pPr>
    </w:lvl>
  </w:abstractNum>
  <w:abstractNum w:abstractNumId="1">
    <w:nsid w:val="FFFFFF7D"/>
    <w:multiLevelType w:val="singleLevel"/>
    <w:tmpl w:val="B4CC84F4"/>
    <w:lvl w:ilvl="0">
      <w:start w:val="1"/>
      <w:numFmt w:val="decimal"/>
      <w:lvlText w:val="%1."/>
      <w:lvlJc w:val="left"/>
      <w:pPr>
        <w:tabs>
          <w:tab w:val="num" w:pos="1440"/>
        </w:tabs>
        <w:ind w:left="1440" w:hanging="360"/>
      </w:pPr>
    </w:lvl>
  </w:abstractNum>
  <w:abstractNum w:abstractNumId="2">
    <w:nsid w:val="FFFFFF7E"/>
    <w:multiLevelType w:val="singleLevel"/>
    <w:tmpl w:val="89D404CE"/>
    <w:lvl w:ilvl="0">
      <w:start w:val="1"/>
      <w:numFmt w:val="decimal"/>
      <w:lvlText w:val="%1."/>
      <w:lvlJc w:val="left"/>
      <w:pPr>
        <w:tabs>
          <w:tab w:val="num" w:pos="1080"/>
        </w:tabs>
        <w:ind w:left="1080" w:hanging="360"/>
      </w:pPr>
    </w:lvl>
  </w:abstractNum>
  <w:abstractNum w:abstractNumId="3">
    <w:nsid w:val="FFFFFF7F"/>
    <w:multiLevelType w:val="singleLevel"/>
    <w:tmpl w:val="CFEE7C5E"/>
    <w:lvl w:ilvl="0">
      <w:start w:val="1"/>
      <w:numFmt w:val="decimal"/>
      <w:lvlText w:val="%1."/>
      <w:lvlJc w:val="left"/>
      <w:pPr>
        <w:tabs>
          <w:tab w:val="num" w:pos="720"/>
        </w:tabs>
        <w:ind w:left="720" w:hanging="360"/>
      </w:pPr>
    </w:lvl>
  </w:abstractNum>
  <w:abstractNum w:abstractNumId="4">
    <w:nsid w:val="FFFFFF80"/>
    <w:multiLevelType w:val="singleLevel"/>
    <w:tmpl w:val="8042EA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568F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E08C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2600B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D2B0F2"/>
    <w:lvl w:ilvl="0">
      <w:start w:val="1"/>
      <w:numFmt w:val="decimal"/>
      <w:lvlText w:val="%1."/>
      <w:lvlJc w:val="left"/>
      <w:pPr>
        <w:tabs>
          <w:tab w:val="num" w:pos="360"/>
        </w:tabs>
        <w:ind w:left="360" w:hanging="360"/>
      </w:pPr>
    </w:lvl>
  </w:abstractNum>
  <w:abstractNum w:abstractNumId="9">
    <w:nsid w:val="FFFFFF89"/>
    <w:multiLevelType w:val="singleLevel"/>
    <w:tmpl w:val="C882D8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A2278"/>
    <w:multiLevelType w:val="hybridMultilevel"/>
    <w:tmpl w:val="00C4C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2616002"/>
    <w:multiLevelType w:val="hybridMultilevel"/>
    <w:tmpl w:val="0AACBDAC"/>
    <w:lvl w:ilvl="0" w:tplc="59EC20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Tms Rm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ms Rm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ms Rmn"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15569"/>
    <w:multiLevelType w:val="hybridMultilevel"/>
    <w:tmpl w:val="F724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3046E"/>
    <w:multiLevelType w:val="hybridMultilevel"/>
    <w:tmpl w:val="39C80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9302FF2"/>
    <w:multiLevelType w:val="hybridMultilevel"/>
    <w:tmpl w:val="45B8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9F18B0"/>
    <w:multiLevelType w:val="hybridMultilevel"/>
    <w:tmpl w:val="868C25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36928DF"/>
    <w:multiLevelType w:val="hybridMultilevel"/>
    <w:tmpl w:val="39F6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13E7C"/>
    <w:multiLevelType w:val="hybridMultilevel"/>
    <w:tmpl w:val="D7927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B90C32"/>
    <w:multiLevelType w:val="hybridMultilevel"/>
    <w:tmpl w:val="140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C3D4D"/>
    <w:multiLevelType w:val="multilevel"/>
    <w:tmpl w:val="DB7A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3380C"/>
    <w:multiLevelType w:val="hybridMultilevel"/>
    <w:tmpl w:val="AEF2E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780729"/>
    <w:multiLevelType w:val="hybridMultilevel"/>
    <w:tmpl w:val="D74E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F44787"/>
    <w:multiLevelType w:val="hybridMultilevel"/>
    <w:tmpl w:val="6EDC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45689"/>
    <w:multiLevelType w:val="hybridMultilevel"/>
    <w:tmpl w:val="12CA0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ms Rm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ms Rm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ms Rmn"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D14707"/>
    <w:multiLevelType w:val="hybridMultilevel"/>
    <w:tmpl w:val="5BFE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512F6"/>
    <w:multiLevelType w:val="hybridMultilevel"/>
    <w:tmpl w:val="2C5C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66C94"/>
    <w:multiLevelType w:val="hybridMultilevel"/>
    <w:tmpl w:val="542E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6"/>
  </w:num>
  <w:num w:numId="5">
    <w:abstractNumId w:val="20"/>
  </w:num>
  <w:num w:numId="6">
    <w:abstractNumId w:val="11"/>
  </w:num>
  <w:num w:numId="7">
    <w:abstractNumId w:val="16"/>
  </w:num>
  <w:num w:numId="8">
    <w:abstractNumId w:val="24"/>
  </w:num>
  <w:num w:numId="9">
    <w:abstractNumId w:val="14"/>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9"/>
  </w:num>
  <w:num w:numId="24">
    <w:abstractNumId w:val="18"/>
  </w:num>
  <w:num w:numId="25">
    <w:abstractNumId w:val="17"/>
  </w:num>
  <w:num w:numId="26">
    <w:abstractNumId w:val="10"/>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drawingGridHorizontalSpacing w:val="110"/>
  <w:displayHorizontalDrawingGridEvery w:val="2"/>
  <w:characterSpacingControl w:val="doNotCompress"/>
  <w:hdrShapeDefaults>
    <o:shapedefaults v:ext="edit" spidmax="2076" fill="f" fillcolor="none [3212]" stroke="f">
      <v:fill color="none [3212]" color2="#e2dedc" rotate="t" on="f" type="gradient"/>
      <v:stroke on="f"/>
      <v:textbox inset="14.4pt,7.2pt,14.4pt,7.2pt"/>
      <o:colormru v:ext="edit" colors="#e2dedc,#eae9ea"/>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docVars>
    <w:docVar w:name="_PubVPasteboard_" w:val="w:compa"/>
  </w:docVars>
  <w:rsids>
    <w:rsidRoot w:val="00010DC9"/>
    <w:rsid w:val="000059B8"/>
    <w:rsid w:val="00006D56"/>
    <w:rsid w:val="0000768D"/>
    <w:rsid w:val="00010DC9"/>
    <w:rsid w:val="0001348F"/>
    <w:rsid w:val="00026652"/>
    <w:rsid w:val="00027D6A"/>
    <w:rsid w:val="000320E7"/>
    <w:rsid w:val="0004755C"/>
    <w:rsid w:val="00047800"/>
    <w:rsid w:val="00051475"/>
    <w:rsid w:val="00053DD4"/>
    <w:rsid w:val="00056E98"/>
    <w:rsid w:val="000619EA"/>
    <w:rsid w:val="00063771"/>
    <w:rsid w:val="00066042"/>
    <w:rsid w:val="000761FD"/>
    <w:rsid w:val="0008671F"/>
    <w:rsid w:val="000A58C2"/>
    <w:rsid w:val="000C5037"/>
    <w:rsid w:val="000C7AB4"/>
    <w:rsid w:val="000C7CBC"/>
    <w:rsid w:val="000D6301"/>
    <w:rsid w:val="00100D3A"/>
    <w:rsid w:val="00104462"/>
    <w:rsid w:val="0010687E"/>
    <w:rsid w:val="00112DD7"/>
    <w:rsid w:val="0012039E"/>
    <w:rsid w:val="001249CF"/>
    <w:rsid w:val="00135619"/>
    <w:rsid w:val="0014155B"/>
    <w:rsid w:val="001508C6"/>
    <w:rsid w:val="00150F2F"/>
    <w:rsid w:val="00181468"/>
    <w:rsid w:val="001913AF"/>
    <w:rsid w:val="001978C7"/>
    <w:rsid w:val="001B592A"/>
    <w:rsid w:val="001D7EC1"/>
    <w:rsid w:val="001E590A"/>
    <w:rsid w:val="001F1D46"/>
    <w:rsid w:val="001F2DF8"/>
    <w:rsid w:val="00200D09"/>
    <w:rsid w:val="00202A78"/>
    <w:rsid w:val="00202D39"/>
    <w:rsid w:val="00205DA0"/>
    <w:rsid w:val="00205E40"/>
    <w:rsid w:val="00227CD4"/>
    <w:rsid w:val="00233CCA"/>
    <w:rsid w:val="00235676"/>
    <w:rsid w:val="00236C6F"/>
    <w:rsid w:val="00252B78"/>
    <w:rsid w:val="00255BB2"/>
    <w:rsid w:val="00263975"/>
    <w:rsid w:val="0026611A"/>
    <w:rsid w:val="00273F52"/>
    <w:rsid w:val="002747AD"/>
    <w:rsid w:val="00275DAC"/>
    <w:rsid w:val="002812B6"/>
    <w:rsid w:val="002A34C0"/>
    <w:rsid w:val="002B0453"/>
    <w:rsid w:val="002D1E5D"/>
    <w:rsid w:val="002E0857"/>
    <w:rsid w:val="002E6CE1"/>
    <w:rsid w:val="002F5818"/>
    <w:rsid w:val="002F61D5"/>
    <w:rsid w:val="003019E8"/>
    <w:rsid w:val="00314B1A"/>
    <w:rsid w:val="00341776"/>
    <w:rsid w:val="00345DE5"/>
    <w:rsid w:val="00347FF1"/>
    <w:rsid w:val="00350187"/>
    <w:rsid w:val="00353A67"/>
    <w:rsid w:val="00353E89"/>
    <w:rsid w:val="003665FD"/>
    <w:rsid w:val="0039072A"/>
    <w:rsid w:val="003A188D"/>
    <w:rsid w:val="003A3D8F"/>
    <w:rsid w:val="003B0147"/>
    <w:rsid w:val="003B5752"/>
    <w:rsid w:val="003C229B"/>
    <w:rsid w:val="003C4C53"/>
    <w:rsid w:val="003E5830"/>
    <w:rsid w:val="003F0B4E"/>
    <w:rsid w:val="00400B4E"/>
    <w:rsid w:val="00403B91"/>
    <w:rsid w:val="00405FB5"/>
    <w:rsid w:val="00407066"/>
    <w:rsid w:val="00411391"/>
    <w:rsid w:val="00411F3A"/>
    <w:rsid w:val="00415555"/>
    <w:rsid w:val="004156D7"/>
    <w:rsid w:val="00417588"/>
    <w:rsid w:val="00444C6E"/>
    <w:rsid w:val="004555A0"/>
    <w:rsid w:val="00456A6F"/>
    <w:rsid w:val="0045719F"/>
    <w:rsid w:val="004625FF"/>
    <w:rsid w:val="0046551E"/>
    <w:rsid w:val="004835E9"/>
    <w:rsid w:val="00487F09"/>
    <w:rsid w:val="00491139"/>
    <w:rsid w:val="004C00FC"/>
    <w:rsid w:val="004C553A"/>
    <w:rsid w:val="004D1537"/>
    <w:rsid w:val="004E409C"/>
    <w:rsid w:val="004E560F"/>
    <w:rsid w:val="00501E59"/>
    <w:rsid w:val="00501FAA"/>
    <w:rsid w:val="005048DF"/>
    <w:rsid w:val="00507BA0"/>
    <w:rsid w:val="00521ABE"/>
    <w:rsid w:val="005224A6"/>
    <w:rsid w:val="00551C2C"/>
    <w:rsid w:val="00552DFF"/>
    <w:rsid w:val="0055536D"/>
    <w:rsid w:val="00575E28"/>
    <w:rsid w:val="00576BCA"/>
    <w:rsid w:val="00576D78"/>
    <w:rsid w:val="00580728"/>
    <w:rsid w:val="00585BB1"/>
    <w:rsid w:val="00586F91"/>
    <w:rsid w:val="00592CAE"/>
    <w:rsid w:val="005966C2"/>
    <w:rsid w:val="005A3FEE"/>
    <w:rsid w:val="005A791D"/>
    <w:rsid w:val="005B0F39"/>
    <w:rsid w:val="005B1F4A"/>
    <w:rsid w:val="005E2B24"/>
    <w:rsid w:val="005F2FA3"/>
    <w:rsid w:val="005F31EB"/>
    <w:rsid w:val="005F6BAC"/>
    <w:rsid w:val="006056BF"/>
    <w:rsid w:val="00660538"/>
    <w:rsid w:val="00661810"/>
    <w:rsid w:val="00677B48"/>
    <w:rsid w:val="0068376C"/>
    <w:rsid w:val="00697EAE"/>
    <w:rsid w:val="006A448B"/>
    <w:rsid w:val="006B00A0"/>
    <w:rsid w:val="006B16E8"/>
    <w:rsid w:val="006C1439"/>
    <w:rsid w:val="006C3557"/>
    <w:rsid w:val="006C72DF"/>
    <w:rsid w:val="006D2FFF"/>
    <w:rsid w:val="006E61CD"/>
    <w:rsid w:val="006F0226"/>
    <w:rsid w:val="006F4CE2"/>
    <w:rsid w:val="007069B0"/>
    <w:rsid w:val="007134A9"/>
    <w:rsid w:val="00721137"/>
    <w:rsid w:val="00723013"/>
    <w:rsid w:val="0072653B"/>
    <w:rsid w:val="00726B94"/>
    <w:rsid w:val="00731BEB"/>
    <w:rsid w:val="0074138A"/>
    <w:rsid w:val="00742404"/>
    <w:rsid w:val="007525AB"/>
    <w:rsid w:val="007657D5"/>
    <w:rsid w:val="00782C6F"/>
    <w:rsid w:val="00785238"/>
    <w:rsid w:val="007868E4"/>
    <w:rsid w:val="0078760E"/>
    <w:rsid w:val="0079242B"/>
    <w:rsid w:val="007935F0"/>
    <w:rsid w:val="007B314D"/>
    <w:rsid w:val="007D2086"/>
    <w:rsid w:val="007D6D27"/>
    <w:rsid w:val="007D7483"/>
    <w:rsid w:val="007E2DB1"/>
    <w:rsid w:val="007E7CEB"/>
    <w:rsid w:val="007F5BFE"/>
    <w:rsid w:val="0081160B"/>
    <w:rsid w:val="00822D21"/>
    <w:rsid w:val="00832FC4"/>
    <w:rsid w:val="00841FC4"/>
    <w:rsid w:val="008428FF"/>
    <w:rsid w:val="00847C83"/>
    <w:rsid w:val="00861A97"/>
    <w:rsid w:val="008649EC"/>
    <w:rsid w:val="008663CD"/>
    <w:rsid w:val="00893DE8"/>
    <w:rsid w:val="00894BA9"/>
    <w:rsid w:val="00896624"/>
    <w:rsid w:val="008974A9"/>
    <w:rsid w:val="008A012B"/>
    <w:rsid w:val="008A1125"/>
    <w:rsid w:val="008B1493"/>
    <w:rsid w:val="008B3234"/>
    <w:rsid w:val="008B4693"/>
    <w:rsid w:val="008C7232"/>
    <w:rsid w:val="008C72EE"/>
    <w:rsid w:val="008D0072"/>
    <w:rsid w:val="008D1429"/>
    <w:rsid w:val="008D2F53"/>
    <w:rsid w:val="008D5414"/>
    <w:rsid w:val="008D7BAE"/>
    <w:rsid w:val="008F30F4"/>
    <w:rsid w:val="008F33C8"/>
    <w:rsid w:val="008F7CDA"/>
    <w:rsid w:val="00907E12"/>
    <w:rsid w:val="00911018"/>
    <w:rsid w:val="00914E03"/>
    <w:rsid w:val="009162F7"/>
    <w:rsid w:val="0091759F"/>
    <w:rsid w:val="00924E4E"/>
    <w:rsid w:val="00932B5E"/>
    <w:rsid w:val="00936401"/>
    <w:rsid w:val="0093706D"/>
    <w:rsid w:val="00942A78"/>
    <w:rsid w:val="00951670"/>
    <w:rsid w:val="00955B72"/>
    <w:rsid w:val="009629C8"/>
    <w:rsid w:val="00965E75"/>
    <w:rsid w:val="0097316C"/>
    <w:rsid w:val="00981F42"/>
    <w:rsid w:val="00982722"/>
    <w:rsid w:val="00997626"/>
    <w:rsid w:val="009A2B23"/>
    <w:rsid w:val="009B083C"/>
    <w:rsid w:val="009B2053"/>
    <w:rsid w:val="009B22E9"/>
    <w:rsid w:val="009B2CFF"/>
    <w:rsid w:val="009B3A9B"/>
    <w:rsid w:val="009B4101"/>
    <w:rsid w:val="009B57C0"/>
    <w:rsid w:val="009D298E"/>
    <w:rsid w:val="009D7BA8"/>
    <w:rsid w:val="009E30C1"/>
    <w:rsid w:val="00A06902"/>
    <w:rsid w:val="00A2331A"/>
    <w:rsid w:val="00A26C62"/>
    <w:rsid w:val="00A42CA1"/>
    <w:rsid w:val="00A4498F"/>
    <w:rsid w:val="00A61D39"/>
    <w:rsid w:val="00A64795"/>
    <w:rsid w:val="00A66D25"/>
    <w:rsid w:val="00A75B20"/>
    <w:rsid w:val="00A82C6E"/>
    <w:rsid w:val="00A8351F"/>
    <w:rsid w:val="00A9666C"/>
    <w:rsid w:val="00AA2239"/>
    <w:rsid w:val="00AA66B4"/>
    <w:rsid w:val="00AB4489"/>
    <w:rsid w:val="00AB562D"/>
    <w:rsid w:val="00AF19AA"/>
    <w:rsid w:val="00AF1BF6"/>
    <w:rsid w:val="00AF404A"/>
    <w:rsid w:val="00AF4B55"/>
    <w:rsid w:val="00AF5E69"/>
    <w:rsid w:val="00B0549D"/>
    <w:rsid w:val="00B15966"/>
    <w:rsid w:val="00B23A13"/>
    <w:rsid w:val="00B30D21"/>
    <w:rsid w:val="00B33E77"/>
    <w:rsid w:val="00B47EC4"/>
    <w:rsid w:val="00B569B6"/>
    <w:rsid w:val="00B577E2"/>
    <w:rsid w:val="00B57C80"/>
    <w:rsid w:val="00B74F71"/>
    <w:rsid w:val="00B9082C"/>
    <w:rsid w:val="00B93952"/>
    <w:rsid w:val="00B94E50"/>
    <w:rsid w:val="00BC4F09"/>
    <w:rsid w:val="00BC5588"/>
    <w:rsid w:val="00BC61BF"/>
    <w:rsid w:val="00BD130A"/>
    <w:rsid w:val="00BD329C"/>
    <w:rsid w:val="00BD4D1A"/>
    <w:rsid w:val="00BE06E1"/>
    <w:rsid w:val="00BE23A9"/>
    <w:rsid w:val="00BE31A9"/>
    <w:rsid w:val="00BE35DE"/>
    <w:rsid w:val="00BE6D71"/>
    <w:rsid w:val="00C02395"/>
    <w:rsid w:val="00C02437"/>
    <w:rsid w:val="00C02ADA"/>
    <w:rsid w:val="00C054FE"/>
    <w:rsid w:val="00C104CA"/>
    <w:rsid w:val="00C11F8C"/>
    <w:rsid w:val="00C14E19"/>
    <w:rsid w:val="00C17AF7"/>
    <w:rsid w:val="00C24F33"/>
    <w:rsid w:val="00C36199"/>
    <w:rsid w:val="00C44CEE"/>
    <w:rsid w:val="00C517AF"/>
    <w:rsid w:val="00C67DFC"/>
    <w:rsid w:val="00C83FBD"/>
    <w:rsid w:val="00CA1676"/>
    <w:rsid w:val="00CA2C85"/>
    <w:rsid w:val="00CA3BB2"/>
    <w:rsid w:val="00CC0C69"/>
    <w:rsid w:val="00CC5AD5"/>
    <w:rsid w:val="00CD2E4D"/>
    <w:rsid w:val="00CD4E92"/>
    <w:rsid w:val="00CD5F00"/>
    <w:rsid w:val="00D03BD8"/>
    <w:rsid w:val="00D12946"/>
    <w:rsid w:val="00D2070C"/>
    <w:rsid w:val="00D25CA8"/>
    <w:rsid w:val="00D31B36"/>
    <w:rsid w:val="00D32B36"/>
    <w:rsid w:val="00D43E13"/>
    <w:rsid w:val="00D51DB3"/>
    <w:rsid w:val="00D54B86"/>
    <w:rsid w:val="00D6608D"/>
    <w:rsid w:val="00D67684"/>
    <w:rsid w:val="00D72639"/>
    <w:rsid w:val="00D737AA"/>
    <w:rsid w:val="00D85638"/>
    <w:rsid w:val="00D9078C"/>
    <w:rsid w:val="00D90BB2"/>
    <w:rsid w:val="00D9314B"/>
    <w:rsid w:val="00D96527"/>
    <w:rsid w:val="00DA6B6D"/>
    <w:rsid w:val="00DB0369"/>
    <w:rsid w:val="00DD0AD7"/>
    <w:rsid w:val="00DD280F"/>
    <w:rsid w:val="00DD3559"/>
    <w:rsid w:val="00DE368E"/>
    <w:rsid w:val="00DE76AB"/>
    <w:rsid w:val="00DF473A"/>
    <w:rsid w:val="00DF66F1"/>
    <w:rsid w:val="00E12610"/>
    <w:rsid w:val="00E141F1"/>
    <w:rsid w:val="00E241BA"/>
    <w:rsid w:val="00E339E9"/>
    <w:rsid w:val="00E42F28"/>
    <w:rsid w:val="00E50614"/>
    <w:rsid w:val="00E6154F"/>
    <w:rsid w:val="00E7755C"/>
    <w:rsid w:val="00E80E8B"/>
    <w:rsid w:val="00E959CB"/>
    <w:rsid w:val="00EA7587"/>
    <w:rsid w:val="00EB0FB4"/>
    <w:rsid w:val="00EB294F"/>
    <w:rsid w:val="00EB6EEF"/>
    <w:rsid w:val="00EB7F43"/>
    <w:rsid w:val="00EC02D8"/>
    <w:rsid w:val="00F02B8A"/>
    <w:rsid w:val="00F1598E"/>
    <w:rsid w:val="00F21548"/>
    <w:rsid w:val="00F3311D"/>
    <w:rsid w:val="00F449A5"/>
    <w:rsid w:val="00F46E99"/>
    <w:rsid w:val="00F5236E"/>
    <w:rsid w:val="00F60C99"/>
    <w:rsid w:val="00F613A2"/>
    <w:rsid w:val="00F74C10"/>
    <w:rsid w:val="00F82B2F"/>
    <w:rsid w:val="00F93165"/>
    <w:rsid w:val="00F953AE"/>
    <w:rsid w:val="00FB1CF3"/>
    <w:rsid w:val="00FB3C17"/>
    <w:rsid w:val="00FC2389"/>
    <w:rsid w:val="00FC6982"/>
    <w:rsid w:val="00FE0996"/>
    <w:rsid w:val="00FF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fill="f" fillcolor="none [3212]" stroke="f">
      <v:fill color="none [3212]" color2="#e2dedc" rotate="t" on="f" type="gradient"/>
      <v:stroke on="f"/>
      <v:textbox inset="14.4pt,7.2pt,14.4pt,7.2pt"/>
      <o:colormru v:ext="edit" colors="#e2dedc,#eae9ea"/>
    </o:shapedefaults>
    <o:shapelayout v:ext="edit">
      <o:idmap v:ext="edit" data="1"/>
    </o:shapelayout>
  </w:shapeDefaults>
  <w:decimalSymbol w:val="."/>
  <w:listSeparator w:val=","/>
  <w14:docId w14:val="6F18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footer" w:uiPriority="99"/>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B72"/>
    <w:pPr>
      <w:spacing w:after="200" w:line="276" w:lineRule="auto"/>
    </w:pPr>
    <w:rPr>
      <w:rFonts w:ascii="Segoe" w:hAnsi="Segoe"/>
      <w:color w:val="262626" w:themeColor="text1" w:themeTint="D9"/>
      <w:sz w:val="20"/>
      <w:szCs w:val="22"/>
    </w:rPr>
  </w:style>
  <w:style w:type="paragraph" w:styleId="Heading1">
    <w:name w:val="heading 1"/>
    <w:basedOn w:val="Normal"/>
    <w:next w:val="Normal"/>
    <w:link w:val="Heading1Char"/>
    <w:uiPriority w:val="9"/>
    <w:qFormat/>
    <w:rsid w:val="001A598F"/>
    <w:pPr>
      <w:keepNext/>
      <w:keepLines/>
      <w:spacing w:before="480" w:after="0"/>
      <w:outlineLvl w:val="0"/>
    </w:pPr>
    <w:rPr>
      <w:rFonts w:eastAsia="Times New Roman"/>
      <w:b/>
      <w:bCs/>
      <w:caps/>
      <w:color w:val="CC6600"/>
      <w:spacing w:val="14"/>
      <w:szCs w:val="28"/>
    </w:rPr>
  </w:style>
  <w:style w:type="paragraph" w:styleId="Heading2">
    <w:name w:val="heading 2"/>
    <w:basedOn w:val="Normal"/>
    <w:next w:val="Normal"/>
    <w:link w:val="Heading2Char"/>
    <w:uiPriority w:val="9"/>
    <w:qFormat/>
    <w:rsid w:val="001A598F"/>
    <w:pPr>
      <w:keepNext/>
      <w:keepLines/>
      <w:spacing w:before="200" w:after="0"/>
      <w:outlineLvl w:val="1"/>
    </w:pPr>
    <w:rPr>
      <w:rFonts w:eastAsia="Times New Roman"/>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C9"/>
    <w:pPr>
      <w:ind w:left="720"/>
      <w:contextualSpacing/>
    </w:pPr>
  </w:style>
  <w:style w:type="paragraph" w:styleId="NoSpacing">
    <w:name w:val="No Spacing"/>
    <w:link w:val="NoSpacingChar"/>
    <w:uiPriority w:val="99"/>
    <w:qFormat/>
    <w:rsid w:val="00010DC9"/>
    <w:rPr>
      <w:sz w:val="22"/>
      <w:szCs w:val="22"/>
    </w:rPr>
  </w:style>
  <w:style w:type="character" w:customStyle="1" w:styleId="Heading1Char">
    <w:name w:val="Heading 1 Char"/>
    <w:basedOn w:val="DefaultParagraphFont"/>
    <w:link w:val="Heading1"/>
    <w:uiPriority w:val="9"/>
    <w:rsid w:val="001A598F"/>
    <w:rPr>
      <w:rFonts w:ascii="Segoe" w:eastAsia="Times New Roman" w:hAnsi="Segoe"/>
      <w:b/>
      <w:bCs/>
      <w:caps/>
      <w:color w:val="CC6600"/>
      <w:spacing w:val="14"/>
      <w:sz w:val="22"/>
      <w:szCs w:val="28"/>
    </w:rPr>
  </w:style>
  <w:style w:type="character" w:customStyle="1" w:styleId="Heading2Char">
    <w:name w:val="Heading 2 Char"/>
    <w:basedOn w:val="DefaultParagraphFont"/>
    <w:link w:val="Heading2"/>
    <w:uiPriority w:val="9"/>
    <w:rsid w:val="001A598F"/>
    <w:rPr>
      <w:rFonts w:ascii="Segoe" w:eastAsia="Times New Roman" w:hAnsi="Segoe"/>
      <w:b/>
      <w:bCs/>
      <w:color w:val="000000" w:themeColor="text1"/>
      <w:sz w:val="22"/>
      <w:szCs w:val="26"/>
    </w:rPr>
  </w:style>
  <w:style w:type="paragraph" w:styleId="FootnoteText">
    <w:name w:val="footnote text"/>
    <w:basedOn w:val="Normal"/>
    <w:link w:val="FootnoteTextChar"/>
    <w:uiPriority w:val="99"/>
    <w:semiHidden/>
    <w:unhideWhenUsed/>
    <w:rsid w:val="00A62D93"/>
    <w:pPr>
      <w:spacing w:after="0" w:line="240" w:lineRule="auto"/>
    </w:pPr>
    <w:rPr>
      <w:color w:val="595959" w:themeColor="text1" w:themeTint="A6"/>
      <w:sz w:val="17"/>
      <w:szCs w:val="20"/>
    </w:rPr>
  </w:style>
  <w:style w:type="character" w:customStyle="1" w:styleId="FootnoteTextChar">
    <w:name w:val="Footnote Text Char"/>
    <w:basedOn w:val="DefaultParagraphFont"/>
    <w:link w:val="FootnoteText"/>
    <w:uiPriority w:val="99"/>
    <w:semiHidden/>
    <w:rsid w:val="00A62D93"/>
    <w:rPr>
      <w:rFonts w:ascii="Segoe" w:hAnsi="Segoe"/>
      <w:color w:val="595959" w:themeColor="text1" w:themeTint="A6"/>
      <w:sz w:val="17"/>
      <w:szCs w:val="20"/>
    </w:rPr>
  </w:style>
  <w:style w:type="character" w:styleId="FootnoteReference">
    <w:name w:val="footnote reference"/>
    <w:basedOn w:val="DefaultParagraphFont"/>
    <w:uiPriority w:val="99"/>
    <w:semiHidden/>
    <w:unhideWhenUsed/>
    <w:rsid w:val="00257A46"/>
    <w:rPr>
      <w:vertAlign w:val="superscript"/>
    </w:rPr>
  </w:style>
  <w:style w:type="paragraph" w:styleId="Header">
    <w:name w:val="header"/>
    <w:basedOn w:val="Normal"/>
    <w:link w:val="HeaderChar"/>
    <w:uiPriority w:val="99"/>
    <w:unhideWhenUsed/>
    <w:rsid w:val="00A94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40B"/>
  </w:style>
  <w:style w:type="paragraph" w:styleId="Footer">
    <w:name w:val="footer"/>
    <w:basedOn w:val="Normal"/>
    <w:link w:val="FooterChar"/>
    <w:uiPriority w:val="99"/>
    <w:unhideWhenUsed/>
    <w:rsid w:val="00A94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0B"/>
  </w:style>
  <w:style w:type="paragraph" w:styleId="BalloonText">
    <w:name w:val="Balloon Text"/>
    <w:basedOn w:val="Normal"/>
    <w:link w:val="BalloonTextChar"/>
    <w:uiPriority w:val="99"/>
    <w:semiHidden/>
    <w:unhideWhenUsed/>
    <w:rsid w:val="00A9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0B"/>
    <w:rPr>
      <w:rFonts w:ascii="Tahoma" w:hAnsi="Tahoma" w:cs="Tahoma"/>
      <w:sz w:val="16"/>
      <w:szCs w:val="16"/>
    </w:rPr>
  </w:style>
  <w:style w:type="character" w:customStyle="1" w:styleId="NoSpacingChar">
    <w:name w:val="No Spacing Char"/>
    <w:basedOn w:val="DefaultParagraphFont"/>
    <w:link w:val="NoSpacing"/>
    <w:uiPriority w:val="99"/>
    <w:rsid w:val="00A9440B"/>
    <w:rPr>
      <w:sz w:val="22"/>
      <w:szCs w:val="22"/>
      <w:lang w:val="en-US" w:eastAsia="en-US" w:bidi="ar-SA"/>
    </w:rPr>
  </w:style>
  <w:style w:type="paragraph" w:styleId="TOCHeading">
    <w:name w:val="TOC Heading"/>
    <w:basedOn w:val="Heading1"/>
    <w:next w:val="Normal"/>
    <w:uiPriority w:val="39"/>
    <w:qFormat/>
    <w:rsid w:val="00A9440B"/>
    <w:pPr>
      <w:outlineLvl w:val="9"/>
    </w:pPr>
  </w:style>
  <w:style w:type="paragraph" w:styleId="TOC1">
    <w:name w:val="toc 1"/>
    <w:basedOn w:val="Normal"/>
    <w:next w:val="Normal"/>
    <w:autoRedefine/>
    <w:uiPriority w:val="39"/>
    <w:unhideWhenUsed/>
    <w:rsid w:val="00832FC4"/>
    <w:pPr>
      <w:tabs>
        <w:tab w:val="right" w:leader="dot" w:pos="6930"/>
      </w:tabs>
      <w:spacing w:after="100"/>
    </w:pPr>
  </w:style>
  <w:style w:type="paragraph" w:styleId="TOC2">
    <w:name w:val="toc 2"/>
    <w:basedOn w:val="Normal"/>
    <w:next w:val="Normal"/>
    <w:autoRedefine/>
    <w:uiPriority w:val="39"/>
    <w:unhideWhenUsed/>
    <w:rsid w:val="00A9440B"/>
    <w:pPr>
      <w:spacing w:after="100"/>
      <w:ind w:left="220"/>
    </w:pPr>
  </w:style>
  <w:style w:type="character" w:styleId="Hyperlink">
    <w:name w:val="Hyperlink"/>
    <w:basedOn w:val="DefaultParagraphFont"/>
    <w:uiPriority w:val="99"/>
    <w:unhideWhenUsed/>
    <w:rsid w:val="00A9440B"/>
    <w:rPr>
      <w:color w:val="0000FF"/>
      <w:u w:val="single"/>
    </w:rPr>
  </w:style>
  <w:style w:type="paragraph" w:styleId="Quote">
    <w:name w:val="Quote"/>
    <w:basedOn w:val="Normal"/>
    <w:next w:val="Normal"/>
    <w:link w:val="QuoteChar"/>
    <w:uiPriority w:val="29"/>
    <w:qFormat/>
    <w:rsid w:val="003704BC"/>
    <w:rPr>
      <w:i/>
      <w:iCs/>
      <w:color w:val="000000"/>
    </w:rPr>
  </w:style>
  <w:style w:type="character" w:customStyle="1" w:styleId="QuoteChar">
    <w:name w:val="Quote Char"/>
    <w:basedOn w:val="DefaultParagraphFont"/>
    <w:link w:val="Quote"/>
    <w:uiPriority w:val="29"/>
    <w:rsid w:val="003704BC"/>
    <w:rPr>
      <w:i/>
      <w:iCs/>
      <w:color w:val="000000"/>
    </w:rPr>
  </w:style>
  <w:style w:type="table" w:styleId="TableGrid">
    <w:name w:val="Table Grid"/>
    <w:basedOn w:val="TableNormal"/>
    <w:uiPriority w:val="59"/>
    <w:rsid w:val="005F2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E6DE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5E6DE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5E6DE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60386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basedOn w:val="DefaultParagraphFont"/>
    <w:semiHidden/>
    <w:rsid w:val="002575FB"/>
    <w:rPr>
      <w:sz w:val="18"/>
    </w:rPr>
  </w:style>
  <w:style w:type="paragraph" w:styleId="CommentText">
    <w:name w:val="annotation text"/>
    <w:basedOn w:val="Normal"/>
    <w:semiHidden/>
    <w:rsid w:val="002575FB"/>
    <w:rPr>
      <w:sz w:val="24"/>
      <w:szCs w:val="24"/>
    </w:rPr>
  </w:style>
  <w:style w:type="paragraph" w:styleId="CommentSubject">
    <w:name w:val="annotation subject"/>
    <w:basedOn w:val="CommentText"/>
    <w:next w:val="CommentText"/>
    <w:semiHidden/>
    <w:rsid w:val="002575FB"/>
    <w:rPr>
      <w:sz w:val="22"/>
      <w:szCs w:val="22"/>
    </w:rPr>
  </w:style>
  <w:style w:type="paragraph" w:styleId="Revision">
    <w:name w:val="Revision"/>
    <w:hidden/>
    <w:uiPriority w:val="99"/>
    <w:semiHidden/>
    <w:rsid w:val="006771BF"/>
    <w:rPr>
      <w:sz w:val="22"/>
      <w:szCs w:val="22"/>
    </w:rPr>
  </w:style>
  <w:style w:type="character" w:styleId="PageNumber">
    <w:name w:val="page number"/>
    <w:basedOn w:val="DefaultParagraphFont"/>
    <w:rsid w:val="001266E5"/>
  </w:style>
  <w:style w:type="table" w:styleId="ColorfulGrid-Accent1">
    <w:name w:val="Colorful Grid Accent 1"/>
    <w:basedOn w:val="TableNormal"/>
    <w:uiPriority w:val="73"/>
    <w:rsid w:val="00DF021E"/>
    <w:rPr>
      <w:rFonts w:asciiTheme="minorHAnsi" w:eastAsiaTheme="minorHAnsi"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E6F2" w:themeFill="accent1" w:themeFillTint="33"/>
    </w:tcPr>
    <w:tblStylePr w:type="firstRow">
      <w:rPr>
        <w:b/>
        <w:bCs/>
      </w:rPr>
      <w:tblPr/>
      <w:tcPr>
        <w:shd w:val="clear" w:color="auto" w:fill="B9CDE5" w:themeFill="accent1" w:themeFillTint="66"/>
      </w:tcPr>
    </w:tblStylePr>
    <w:tblStylePr w:type="lastRow">
      <w:rPr>
        <w:b/>
        <w:bCs/>
        <w:color w:val="000000" w:themeColor="text1"/>
      </w:rPr>
      <w:tblPr/>
      <w:tcPr>
        <w:shd w:val="clear" w:color="auto" w:fill="B9CDE5" w:themeFill="accent1" w:themeFillTint="66"/>
      </w:tcPr>
    </w:tblStylePr>
    <w:tblStylePr w:type="firstCol">
      <w:rPr>
        <w:color w:val="FFFFFF" w:themeColor="background1"/>
      </w:rPr>
      <w:tblPr/>
      <w:tcPr>
        <w:shd w:val="clear" w:color="auto" w:fill="376092" w:themeFill="accent1" w:themeFillShade="BF"/>
      </w:tcPr>
    </w:tblStylePr>
    <w:tblStylePr w:type="lastCol">
      <w:rPr>
        <w:color w:val="FFFFFF" w:themeColor="background1"/>
      </w:rPr>
      <w:tblPr/>
      <w:tcPr>
        <w:shd w:val="clear" w:color="auto" w:fill="376092"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paragraph" w:styleId="Caption">
    <w:name w:val="caption"/>
    <w:basedOn w:val="Normal"/>
    <w:next w:val="Normal"/>
    <w:rsid w:val="00073CC3"/>
    <w:pPr>
      <w:spacing w:line="240" w:lineRule="auto"/>
    </w:pPr>
    <w:rPr>
      <w:b/>
      <w:bCs/>
      <w:color w:val="4F81BD" w:themeColor="accent1"/>
      <w:sz w:val="18"/>
      <w:szCs w:val="18"/>
    </w:rPr>
  </w:style>
  <w:style w:type="character" w:styleId="FollowedHyperlink">
    <w:name w:val="FollowedHyperlink"/>
    <w:basedOn w:val="DefaultParagraphFont"/>
    <w:rsid w:val="009E253F"/>
    <w:rPr>
      <w:color w:val="800080" w:themeColor="followedHyperlink"/>
      <w:u w:val="single"/>
    </w:rPr>
  </w:style>
  <w:style w:type="paragraph" w:customStyle="1" w:styleId="GrayFootnotes">
    <w:name w:val="Gray Footnotes"/>
    <w:basedOn w:val="FootnoteText"/>
    <w:qFormat/>
    <w:rsid w:val="00A62D93"/>
  </w:style>
  <w:style w:type="paragraph" w:customStyle="1" w:styleId="Footnote">
    <w:name w:val="Footnote"/>
    <w:basedOn w:val="FootnoteText"/>
    <w:link w:val="FootnoteChar"/>
    <w:uiPriority w:val="99"/>
    <w:rsid w:val="004156D7"/>
    <w:pPr>
      <w:spacing w:after="60"/>
    </w:pPr>
    <w:rPr>
      <w:rFonts w:ascii="Calibri" w:hAnsi="Calibri"/>
      <w:color w:val="auto"/>
      <w:sz w:val="16"/>
      <w:szCs w:val="16"/>
    </w:rPr>
  </w:style>
  <w:style w:type="character" w:customStyle="1" w:styleId="FootnoteChar">
    <w:name w:val="Footnote Char"/>
    <w:basedOn w:val="FootnoteTextChar"/>
    <w:link w:val="Footnote"/>
    <w:uiPriority w:val="99"/>
    <w:locked/>
    <w:rsid w:val="004156D7"/>
    <w:rPr>
      <w:rFonts w:ascii="Segoe" w:hAnsi="Segoe"/>
      <w:color w:val="595959" w:themeColor="text1" w:themeTint="A6"/>
      <w:sz w:val="16"/>
      <w:szCs w:val="16"/>
    </w:rPr>
  </w:style>
  <w:style w:type="paragraph" w:styleId="NormalWeb">
    <w:name w:val="Normal (Web)"/>
    <w:basedOn w:val="Normal"/>
    <w:uiPriority w:val="99"/>
    <w:rsid w:val="004156D7"/>
    <w:pPr>
      <w:spacing w:before="100" w:beforeAutospacing="1" w:after="100" w:afterAutospacing="1" w:line="240" w:lineRule="auto"/>
    </w:pPr>
    <w:rPr>
      <w:rFonts w:ascii="Times New Roman" w:hAnsi="Times New Roman"/>
      <w:color w:val="auto"/>
      <w:sz w:val="24"/>
      <w:szCs w:val="24"/>
    </w:rPr>
  </w:style>
  <w:style w:type="paragraph" w:customStyle="1" w:styleId="legalese">
    <w:name w:val="legalese"/>
    <w:basedOn w:val="Normal"/>
    <w:uiPriority w:val="99"/>
    <w:rsid w:val="009A2B23"/>
    <w:pPr>
      <w:spacing w:after="0" w:line="240" w:lineRule="auto"/>
    </w:pPr>
    <w:rPr>
      <w:rFonts w:ascii="Times New Roman" w:eastAsiaTheme="minorHAnsi" w:hAnsi="Times New Roman"/>
      <w:color w:val="auto"/>
      <w:sz w:val="24"/>
      <w:szCs w:val="24"/>
    </w:rPr>
  </w:style>
  <w:style w:type="table" w:customStyle="1" w:styleId="MediumList1-Accent11">
    <w:name w:val="Medium List 1 - Accent 11"/>
    <w:basedOn w:val="TableNormal"/>
    <w:rsid w:val="0001348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E0EF" w:themeFill="accent1" w:themeFillTint="3F"/>
      </w:tcPr>
    </w:tblStylePr>
    <w:tblStylePr w:type="band1Horz">
      <w:tblPr/>
      <w:tcPr>
        <w:shd w:val="clear" w:color="auto" w:fill="D3E0EF" w:themeFill="accent1" w:themeFillTint="3F"/>
      </w:tcPr>
    </w:tblStylePr>
  </w:style>
  <w:style w:type="paragraph" w:styleId="ListBullet">
    <w:name w:val="List Bullet"/>
    <w:basedOn w:val="Normal"/>
    <w:rsid w:val="009162F7"/>
    <w:pPr>
      <w:numPr>
        <w:numId w:val="12"/>
      </w:numPr>
      <w:contextualSpacing/>
    </w:pPr>
  </w:style>
  <w:style w:type="character" w:styleId="IntenseEmphasis">
    <w:name w:val="Intense Emphasis"/>
    <w:basedOn w:val="DefaultParagraphFont"/>
    <w:uiPriority w:val="21"/>
    <w:qFormat/>
    <w:rsid w:val="00841FC4"/>
    <w:rPr>
      <w:b/>
      <w:bCs/>
      <w:i/>
      <w:iCs/>
      <w:color w:val="4F81BD" w:themeColor="accent1"/>
    </w:rPr>
  </w:style>
  <w:style w:type="paragraph" w:styleId="BodyText">
    <w:name w:val="Body Text"/>
    <w:basedOn w:val="Normal"/>
    <w:link w:val="BodyTextChar"/>
    <w:autoRedefine/>
    <w:unhideWhenUsed/>
    <w:rsid w:val="008974A9"/>
    <w:pPr>
      <w:spacing w:before="120" w:after="120" w:line="240" w:lineRule="auto"/>
      <w:ind w:right="-1188"/>
    </w:pPr>
    <w:rPr>
      <w:rFonts w:ascii="Calibri" w:eastAsia="Times New Roman" w:hAnsi="Calibri" w:cs="Arial"/>
      <w:color w:val="595959"/>
      <w:sz w:val="22"/>
      <w:szCs w:val="24"/>
      <w:lang w:val="en-GB"/>
    </w:rPr>
  </w:style>
  <w:style w:type="character" w:customStyle="1" w:styleId="BodyTextChar">
    <w:name w:val="Body Text Char"/>
    <w:basedOn w:val="DefaultParagraphFont"/>
    <w:link w:val="BodyText"/>
    <w:rsid w:val="008974A9"/>
    <w:rPr>
      <w:rFonts w:eastAsia="Times New Roman" w:cs="Arial"/>
      <w:color w:val="595959"/>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4105">
      <w:bodyDiv w:val="1"/>
      <w:marLeft w:val="0"/>
      <w:marRight w:val="0"/>
      <w:marTop w:val="0"/>
      <w:marBottom w:val="0"/>
      <w:divBdr>
        <w:top w:val="none" w:sz="0" w:space="0" w:color="auto"/>
        <w:left w:val="none" w:sz="0" w:space="0" w:color="auto"/>
        <w:bottom w:val="none" w:sz="0" w:space="0" w:color="auto"/>
        <w:right w:val="none" w:sz="0" w:space="0" w:color="auto"/>
      </w:divBdr>
    </w:div>
    <w:div w:id="935285974">
      <w:bodyDiv w:val="1"/>
      <w:marLeft w:val="0"/>
      <w:marRight w:val="0"/>
      <w:marTop w:val="0"/>
      <w:marBottom w:val="0"/>
      <w:divBdr>
        <w:top w:val="none" w:sz="0" w:space="0" w:color="auto"/>
        <w:left w:val="none" w:sz="0" w:space="0" w:color="auto"/>
        <w:bottom w:val="none" w:sz="0" w:space="0" w:color="auto"/>
        <w:right w:val="none" w:sz="0" w:space="0" w:color="auto"/>
      </w:divBdr>
    </w:div>
    <w:div w:id="1553689391">
      <w:bodyDiv w:val="1"/>
      <w:marLeft w:val="0"/>
      <w:marRight w:val="0"/>
      <w:marTop w:val="0"/>
      <w:marBottom w:val="0"/>
      <w:divBdr>
        <w:top w:val="none" w:sz="0" w:space="0" w:color="auto"/>
        <w:left w:val="none" w:sz="0" w:space="0" w:color="auto"/>
        <w:bottom w:val="none" w:sz="0" w:space="0" w:color="auto"/>
        <w:right w:val="none" w:sz="0" w:space="0" w:color="auto"/>
      </w:divBdr>
    </w:div>
    <w:div w:id="1953706199">
      <w:bodyDiv w:val="1"/>
      <w:marLeft w:val="0"/>
      <w:marRight w:val="0"/>
      <w:marTop w:val="0"/>
      <w:marBottom w:val="0"/>
      <w:divBdr>
        <w:top w:val="none" w:sz="0" w:space="0" w:color="auto"/>
        <w:left w:val="none" w:sz="0" w:space="0" w:color="auto"/>
        <w:bottom w:val="none" w:sz="0" w:space="0" w:color="auto"/>
        <w:right w:val="none" w:sz="0" w:space="0" w:color="auto"/>
      </w:divBdr>
    </w:div>
    <w:div w:id="202247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st">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3B89-A5D9-4EB4-A70F-6936B5C82B75}">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D358866-AD48-4A41-9D62-BB5DAA295631}">
  <ds:schemaRefs>
    <ds:schemaRef ds:uri="http://schemas.microsoft.com/sharepoint/v3/contenttype/forms"/>
  </ds:schemaRefs>
</ds:datastoreItem>
</file>

<file path=customXml/itemProps3.xml><?xml version="1.0" encoding="utf-8"?>
<ds:datastoreItem xmlns:ds="http://schemas.openxmlformats.org/officeDocument/2006/customXml" ds:itemID="{F44C1945-949B-4358-ACA1-F0F0AA87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9FD446-79B4-43B8-A762-0FDD3F01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Opalis An Overview of IT Process Automation </vt:lpstr>
    </vt:vector>
  </TitlesOfParts>
  <Company>Microsoft Business Insights:  Building Strategic Advantage Through IT</Company>
  <LinksUpToDate>false</LinksUpToDate>
  <CharactersWithSpaces>9952</CharactersWithSpaces>
  <SharedDoc>false</SharedDoc>
  <HLinks>
    <vt:vector size="120" baseType="variant">
      <vt:variant>
        <vt:i4>5439560</vt:i4>
      </vt:variant>
      <vt:variant>
        <vt:i4>117</vt:i4>
      </vt:variant>
      <vt:variant>
        <vt:i4>0</vt:i4>
      </vt:variant>
      <vt:variant>
        <vt:i4>5</vt:i4>
      </vt:variant>
      <vt:variant>
        <vt:lpwstr>http://www.iii-p.org</vt:lpwstr>
      </vt:variant>
      <vt:variant>
        <vt:lpwstr/>
      </vt:variant>
      <vt:variant>
        <vt:i4>1572915</vt:i4>
      </vt:variant>
      <vt:variant>
        <vt:i4>110</vt:i4>
      </vt:variant>
      <vt:variant>
        <vt:i4>0</vt:i4>
      </vt:variant>
      <vt:variant>
        <vt:i4>5</vt:i4>
      </vt:variant>
      <vt:variant>
        <vt:lpwstr/>
      </vt:variant>
      <vt:variant>
        <vt:lpwstr>_Toc200853441</vt:lpwstr>
      </vt:variant>
      <vt:variant>
        <vt:i4>1572915</vt:i4>
      </vt:variant>
      <vt:variant>
        <vt:i4>104</vt:i4>
      </vt:variant>
      <vt:variant>
        <vt:i4>0</vt:i4>
      </vt:variant>
      <vt:variant>
        <vt:i4>5</vt:i4>
      </vt:variant>
      <vt:variant>
        <vt:lpwstr/>
      </vt:variant>
      <vt:variant>
        <vt:lpwstr>_Toc200853440</vt:lpwstr>
      </vt:variant>
      <vt:variant>
        <vt:i4>2031667</vt:i4>
      </vt:variant>
      <vt:variant>
        <vt:i4>98</vt:i4>
      </vt:variant>
      <vt:variant>
        <vt:i4>0</vt:i4>
      </vt:variant>
      <vt:variant>
        <vt:i4>5</vt:i4>
      </vt:variant>
      <vt:variant>
        <vt:lpwstr/>
      </vt:variant>
      <vt:variant>
        <vt:lpwstr>_Toc200853439</vt:lpwstr>
      </vt:variant>
      <vt:variant>
        <vt:i4>2031667</vt:i4>
      </vt:variant>
      <vt:variant>
        <vt:i4>92</vt:i4>
      </vt:variant>
      <vt:variant>
        <vt:i4>0</vt:i4>
      </vt:variant>
      <vt:variant>
        <vt:i4>5</vt:i4>
      </vt:variant>
      <vt:variant>
        <vt:lpwstr/>
      </vt:variant>
      <vt:variant>
        <vt:lpwstr>_Toc200853438</vt:lpwstr>
      </vt:variant>
      <vt:variant>
        <vt:i4>2031667</vt:i4>
      </vt:variant>
      <vt:variant>
        <vt:i4>86</vt:i4>
      </vt:variant>
      <vt:variant>
        <vt:i4>0</vt:i4>
      </vt:variant>
      <vt:variant>
        <vt:i4>5</vt:i4>
      </vt:variant>
      <vt:variant>
        <vt:lpwstr/>
      </vt:variant>
      <vt:variant>
        <vt:lpwstr>_Toc200853437</vt:lpwstr>
      </vt:variant>
      <vt:variant>
        <vt:i4>2031667</vt:i4>
      </vt:variant>
      <vt:variant>
        <vt:i4>80</vt:i4>
      </vt:variant>
      <vt:variant>
        <vt:i4>0</vt:i4>
      </vt:variant>
      <vt:variant>
        <vt:i4>5</vt:i4>
      </vt:variant>
      <vt:variant>
        <vt:lpwstr/>
      </vt:variant>
      <vt:variant>
        <vt:lpwstr>_Toc200853436</vt:lpwstr>
      </vt:variant>
      <vt:variant>
        <vt:i4>2031667</vt:i4>
      </vt:variant>
      <vt:variant>
        <vt:i4>74</vt:i4>
      </vt:variant>
      <vt:variant>
        <vt:i4>0</vt:i4>
      </vt:variant>
      <vt:variant>
        <vt:i4>5</vt:i4>
      </vt:variant>
      <vt:variant>
        <vt:lpwstr/>
      </vt:variant>
      <vt:variant>
        <vt:lpwstr>_Toc200853435</vt:lpwstr>
      </vt:variant>
      <vt:variant>
        <vt:i4>2031667</vt:i4>
      </vt:variant>
      <vt:variant>
        <vt:i4>68</vt:i4>
      </vt:variant>
      <vt:variant>
        <vt:i4>0</vt:i4>
      </vt:variant>
      <vt:variant>
        <vt:i4>5</vt:i4>
      </vt:variant>
      <vt:variant>
        <vt:lpwstr/>
      </vt:variant>
      <vt:variant>
        <vt:lpwstr>_Toc200853434</vt:lpwstr>
      </vt:variant>
      <vt:variant>
        <vt:i4>2031667</vt:i4>
      </vt:variant>
      <vt:variant>
        <vt:i4>62</vt:i4>
      </vt:variant>
      <vt:variant>
        <vt:i4>0</vt:i4>
      </vt:variant>
      <vt:variant>
        <vt:i4>5</vt:i4>
      </vt:variant>
      <vt:variant>
        <vt:lpwstr/>
      </vt:variant>
      <vt:variant>
        <vt:lpwstr>_Toc200853433</vt:lpwstr>
      </vt:variant>
      <vt:variant>
        <vt:i4>2031667</vt:i4>
      </vt:variant>
      <vt:variant>
        <vt:i4>56</vt:i4>
      </vt:variant>
      <vt:variant>
        <vt:i4>0</vt:i4>
      </vt:variant>
      <vt:variant>
        <vt:i4>5</vt:i4>
      </vt:variant>
      <vt:variant>
        <vt:lpwstr/>
      </vt:variant>
      <vt:variant>
        <vt:lpwstr>_Toc200853432</vt:lpwstr>
      </vt:variant>
      <vt:variant>
        <vt:i4>2031667</vt:i4>
      </vt:variant>
      <vt:variant>
        <vt:i4>50</vt:i4>
      </vt:variant>
      <vt:variant>
        <vt:i4>0</vt:i4>
      </vt:variant>
      <vt:variant>
        <vt:i4>5</vt:i4>
      </vt:variant>
      <vt:variant>
        <vt:lpwstr/>
      </vt:variant>
      <vt:variant>
        <vt:lpwstr>_Toc200853431</vt:lpwstr>
      </vt:variant>
      <vt:variant>
        <vt:i4>2031667</vt:i4>
      </vt:variant>
      <vt:variant>
        <vt:i4>44</vt:i4>
      </vt:variant>
      <vt:variant>
        <vt:i4>0</vt:i4>
      </vt:variant>
      <vt:variant>
        <vt:i4>5</vt:i4>
      </vt:variant>
      <vt:variant>
        <vt:lpwstr/>
      </vt:variant>
      <vt:variant>
        <vt:lpwstr>_Toc200853430</vt:lpwstr>
      </vt:variant>
      <vt:variant>
        <vt:i4>1966131</vt:i4>
      </vt:variant>
      <vt:variant>
        <vt:i4>38</vt:i4>
      </vt:variant>
      <vt:variant>
        <vt:i4>0</vt:i4>
      </vt:variant>
      <vt:variant>
        <vt:i4>5</vt:i4>
      </vt:variant>
      <vt:variant>
        <vt:lpwstr/>
      </vt:variant>
      <vt:variant>
        <vt:lpwstr>_Toc200853429</vt:lpwstr>
      </vt:variant>
      <vt:variant>
        <vt:i4>1966131</vt:i4>
      </vt:variant>
      <vt:variant>
        <vt:i4>32</vt:i4>
      </vt:variant>
      <vt:variant>
        <vt:i4>0</vt:i4>
      </vt:variant>
      <vt:variant>
        <vt:i4>5</vt:i4>
      </vt:variant>
      <vt:variant>
        <vt:lpwstr/>
      </vt:variant>
      <vt:variant>
        <vt:lpwstr>_Toc200853428</vt:lpwstr>
      </vt:variant>
      <vt:variant>
        <vt:i4>1966131</vt:i4>
      </vt:variant>
      <vt:variant>
        <vt:i4>26</vt:i4>
      </vt:variant>
      <vt:variant>
        <vt:i4>0</vt:i4>
      </vt:variant>
      <vt:variant>
        <vt:i4>5</vt:i4>
      </vt:variant>
      <vt:variant>
        <vt:lpwstr/>
      </vt:variant>
      <vt:variant>
        <vt:lpwstr>_Toc200853427</vt:lpwstr>
      </vt:variant>
      <vt:variant>
        <vt:i4>1966131</vt:i4>
      </vt:variant>
      <vt:variant>
        <vt:i4>20</vt:i4>
      </vt:variant>
      <vt:variant>
        <vt:i4>0</vt:i4>
      </vt:variant>
      <vt:variant>
        <vt:i4>5</vt:i4>
      </vt:variant>
      <vt:variant>
        <vt:lpwstr/>
      </vt:variant>
      <vt:variant>
        <vt:lpwstr>_Toc200853426</vt:lpwstr>
      </vt:variant>
      <vt:variant>
        <vt:i4>1966131</vt:i4>
      </vt:variant>
      <vt:variant>
        <vt:i4>14</vt:i4>
      </vt:variant>
      <vt:variant>
        <vt:i4>0</vt:i4>
      </vt:variant>
      <vt:variant>
        <vt:i4>5</vt:i4>
      </vt:variant>
      <vt:variant>
        <vt:lpwstr/>
      </vt:variant>
      <vt:variant>
        <vt:lpwstr>_Toc200853425</vt:lpwstr>
      </vt:variant>
      <vt:variant>
        <vt:i4>1966131</vt:i4>
      </vt:variant>
      <vt:variant>
        <vt:i4>8</vt:i4>
      </vt:variant>
      <vt:variant>
        <vt:i4>0</vt:i4>
      </vt:variant>
      <vt:variant>
        <vt:i4>5</vt:i4>
      </vt:variant>
      <vt:variant>
        <vt:lpwstr/>
      </vt:variant>
      <vt:variant>
        <vt:lpwstr>_Toc200853424</vt:lpwstr>
      </vt:variant>
      <vt:variant>
        <vt:i4>1966131</vt:i4>
      </vt:variant>
      <vt:variant>
        <vt:i4>2</vt:i4>
      </vt:variant>
      <vt:variant>
        <vt:i4>0</vt:i4>
      </vt:variant>
      <vt:variant>
        <vt:i4>5</vt:i4>
      </vt:variant>
      <vt:variant>
        <vt:lpwstr/>
      </vt:variant>
      <vt:variant>
        <vt:lpwstr>_Toc200853423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Opalis An Overview of IT Process Automation</dc:title>
  <dc:creator>Louise Johns</dc:creator>
  <cp:lastModifiedBy>lojohns</cp:lastModifiedBy>
  <cp:revision>2</cp:revision>
  <cp:lastPrinted>2009-05-28T21:35:00Z</cp:lastPrinted>
  <dcterms:created xsi:type="dcterms:W3CDTF">2010-03-01T19:01:00Z</dcterms:created>
  <dcterms:modified xsi:type="dcterms:W3CDTF">2010-03-01T19:01:00Z</dcterms:modified>
</cp:coreProperties>
</file>