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2E1" w:rsidRPr="00AA17F5" w:rsidRDefault="00F54CF2" w:rsidP="00AA17F5">
      <w:pPr>
        <w:pStyle w:val="Heading1"/>
        <w:rPr>
          <w:rFonts w:ascii="Segoe UI" w:hAnsi="Segoe UI" w:cs="Segoe UI"/>
          <w:color w:val="002060"/>
          <w:sz w:val="24"/>
          <w:szCs w:val="24"/>
        </w:rPr>
        <w:sectPr w:rsidR="006762E1" w:rsidRPr="00AA17F5" w:rsidSect="006824F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95250</wp:posOffset>
            </wp:positionV>
            <wp:extent cx="2870200" cy="361950"/>
            <wp:effectExtent l="19050" t="0" r="6350" b="0"/>
            <wp:wrapNone/>
            <wp:docPr id="2" name="Picture 6" descr="Virtualization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rtualization_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793B" w:rsidRPr="001C793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8.05pt;margin-top:30.75pt;width:375.55pt;height:42.75pt;z-index:251657216;mso-position-horizontal-relative:text;mso-position-vertical-relative:text" filled="f" fillcolor="#0d0d0d" stroked="f">
            <v:textbox style="mso-next-textbox:#_x0000_s1027">
              <w:txbxContent>
                <w:p w:rsidR="006762E1" w:rsidRPr="006F2641" w:rsidRDefault="006762E1">
                  <w:pPr>
                    <w:rPr>
                      <w:rFonts w:ascii="Segoe UI" w:hAnsi="Segoe UI" w:cs="Segoe UI"/>
                      <w:b/>
                      <w:color w:val="FFFFFF"/>
                      <w:sz w:val="32"/>
                    </w:rPr>
                  </w:pPr>
                  <w:r w:rsidRPr="006F2641">
                    <w:rPr>
                      <w:rFonts w:ascii="Segoe UI" w:hAnsi="Segoe UI" w:cs="Segoe UI"/>
                      <w:b/>
                      <w:color w:val="FFFFFF"/>
                      <w:sz w:val="32"/>
                    </w:rPr>
                    <w:t>Cloud Computing Infrastructure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324725" cy="1724025"/>
            <wp:effectExtent l="1905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62E1" w:rsidRPr="00AA17F5">
        <w:rPr>
          <w:rFonts w:ascii="Segoe UI" w:hAnsi="Segoe UI" w:cs="Segoe UI"/>
          <w:color w:val="002060"/>
          <w:sz w:val="24"/>
          <w:szCs w:val="24"/>
        </w:rPr>
        <w:t>Microsoft is providing produc</w:t>
      </w:r>
      <w:r w:rsidR="006762E1">
        <w:rPr>
          <w:rFonts w:ascii="Segoe UI" w:hAnsi="Segoe UI" w:cs="Segoe UI"/>
          <w:color w:val="002060"/>
          <w:sz w:val="24"/>
          <w:szCs w:val="24"/>
        </w:rPr>
        <w:t xml:space="preserve">ts, technologies and offerings, </w:t>
      </w:r>
      <w:r w:rsidR="006762E1" w:rsidRPr="00AA17F5">
        <w:rPr>
          <w:rFonts w:ascii="Segoe UI" w:hAnsi="Segoe UI" w:cs="Segoe UI"/>
          <w:color w:val="002060"/>
          <w:sz w:val="24"/>
          <w:szCs w:val="24"/>
        </w:rPr>
        <w:t xml:space="preserve">based on the </w:t>
      </w:r>
      <w:r w:rsidR="006762E1">
        <w:rPr>
          <w:rFonts w:ascii="Segoe UI" w:hAnsi="Segoe UI" w:cs="Segoe UI"/>
          <w:color w:val="002060"/>
          <w:sz w:val="24"/>
          <w:szCs w:val="24"/>
        </w:rPr>
        <w:t>concept</w:t>
      </w:r>
      <w:r w:rsidR="006762E1" w:rsidRPr="00AA17F5">
        <w:rPr>
          <w:rFonts w:ascii="Segoe UI" w:hAnsi="Segoe UI" w:cs="Segoe UI"/>
          <w:color w:val="002060"/>
          <w:sz w:val="24"/>
          <w:szCs w:val="24"/>
        </w:rPr>
        <w:t xml:space="preserve"> of being highly virtualized, managed in a consistent manner, dynamic and elastic scalability, and focused on the delivery of services to the user</w:t>
      </w:r>
      <w:r w:rsidR="006762E1">
        <w:rPr>
          <w:rFonts w:ascii="Segoe UI" w:hAnsi="Segoe UI" w:cs="Segoe UI"/>
          <w:color w:val="002060"/>
          <w:sz w:val="24"/>
          <w:szCs w:val="24"/>
        </w:rPr>
        <w:t>.</w:t>
      </w:r>
    </w:p>
    <w:p w:rsidR="006762E1" w:rsidRDefault="001C793B" w:rsidP="00230DCE">
      <w:pPr>
        <w:ind w:left="5040" w:firstLine="720"/>
      </w:pPr>
      <w:r>
        <w:rPr>
          <w:noProof/>
        </w:rPr>
        <w:lastRenderedPageBreak/>
        <w:pict>
          <v:shape id="_x0000_s1029" type="#_x0000_t202" style="position:absolute;left:0;text-align:left;margin-left:-2.25pt;margin-top:16.65pt;width:195.85pt;height:176.55pt;z-index:251658240" stroked="f">
            <v:textbox style="mso-next-textbox:#_x0000_s1029">
              <w:txbxContent>
                <w:p w:rsidR="006762E1" w:rsidRPr="00AA17F5" w:rsidRDefault="006762E1" w:rsidP="0001333B">
                  <w:pPr>
                    <w:pStyle w:val="Heading2"/>
                    <w:spacing w:before="0"/>
                    <w:rPr>
                      <w:rFonts w:ascii="Segoe UI" w:hAnsi="Segoe UI" w:cs="Segoe UI"/>
                      <w:color w:val="002060"/>
                      <w:sz w:val="22"/>
                    </w:rPr>
                  </w:pPr>
                  <w:r w:rsidRPr="00AA17F5">
                    <w:rPr>
                      <w:rFonts w:ascii="Segoe UI" w:hAnsi="Segoe UI" w:cs="Segoe UI"/>
                      <w:color w:val="002060"/>
                      <w:sz w:val="22"/>
                    </w:rPr>
                    <w:t>Microsoft’s cloud computing infrastructure</w:t>
                  </w:r>
                </w:p>
                <w:p w:rsidR="006762E1" w:rsidRDefault="006762E1" w:rsidP="0001333B">
                  <w:pPr>
                    <w:spacing w:after="0"/>
                    <w:rPr>
                      <w:rFonts w:ascii="Segoe UI" w:hAnsi="Segoe UI" w:cs="Segoe UI"/>
                      <w:color w:val="1D1B11"/>
                      <w:sz w:val="18"/>
                      <w:szCs w:val="18"/>
                    </w:rPr>
                  </w:pPr>
                  <w:r>
                    <w:rPr>
                      <w:rFonts w:ascii="Segoe UI" w:hAnsi="Segoe UI" w:cs="Segoe UI"/>
                      <w:color w:val="1D1B11"/>
                      <w:sz w:val="18"/>
                      <w:szCs w:val="18"/>
                    </w:rPr>
                    <w:t>Microsoft has outlined a vision for cloud computing infrastructure that is an evolution of the multi-year, multi-product Dynamic IT vision outlined six years ago. Microsoft is now providing products, technologies and offerings around 2 types of clouds, each based on the concepts of being highly virtualized, managed in a consistent manner, dynamic and elastic scalability, and focused on the delivery of services to the user:</w:t>
                  </w:r>
                </w:p>
                <w:p w:rsidR="006762E1" w:rsidRDefault="006762E1" w:rsidP="00CF6E85"/>
              </w:txbxContent>
            </v:textbox>
          </v:shape>
        </w:pict>
      </w:r>
      <w:r w:rsidR="006762E1">
        <w:tab/>
      </w:r>
      <w:r w:rsidR="006762E1">
        <w:tab/>
      </w:r>
      <w:r w:rsidR="006762E1">
        <w:tab/>
        <w:t xml:space="preserve"> </w:t>
      </w:r>
    </w:p>
    <w:p w:rsidR="006762E1" w:rsidRDefault="00F54CF2" w:rsidP="00230DCE">
      <w:pPr>
        <w:pStyle w:val="Heading2"/>
        <w:spacing w:before="0" w:line="360" w:lineRule="auto"/>
        <w:ind w:left="3600" w:firstLine="720"/>
        <w:rPr>
          <w:rFonts w:ascii="Segoe UI" w:hAnsi="Segoe UI" w:cs="Segoe UI"/>
          <w:color w:val="002060"/>
          <w:sz w:val="28"/>
        </w:rPr>
      </w:pPr>
      <w:r>
        <w:rPr>
          <w:rFonts w:ascii="Segoe UI" w:hAnsi="Segoe UI" w:cs="Segoe UI"/>
          <w:noProof/>
          <w:color w:val="002060"/>
          <w:sz w:val="28"/>
          <w:lang w:eastAsia="zh-CN"/>
        </w:rPr>
        <w:drawing>
          <wp:inline distT="0" distB="0" distL="0" distR="0">
            <wp:extent cx="4039343" cy="2055495"/>
            <wp:effectExtent l="6038" t="0" r="204" b="0"/>
            <wp:docPr id="1" name="Objec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831331" cy="4129085"/>
                      <a:chOff x="178813" y="2957515"/>
                      <a:chExt cx="11831331" cy="4129085"/>
                    </a:xfrm>
                  </a:grpSpPr>
                  <a:sp>
                    <a:nvSpPr>
                      <a:cNvPr id="124" name="Round Same Side Corner Rectangle 123"/>
                      <a:cNvSpPr/>
                    </a:nvSpPr>
                    <a:spPr bwMode="auto">
                      <a:xfrm>
                        <a:off x="178813" y="2957515"/>
                        <a:ext cx="11831331" cy="4023360"/>
                      </a:xfrm>
                      <a:prstGeom prst="round2SameRect">
                        <a:avLst>
                          <a:gd name="adj1" fmla="val 11041"/>
                          <a:gd name="adj2" fmla="val 0"/>
                        </a:avLst>
                      </a:prstGeom>
                      <a:noFill/>
                      <a:ln w="50800" cap="flat" cmpd="dbl" algn="ctr">
                        <a:solidFill>
                          <a:schemeClr val="accent2">
                            <a:lumMod val="75000"/>
                          </a:schemeClr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  <a:effectLst/>
                    </a:spPr>
                    <a:txSp>
                      <a:txBody>
                        <a:bodyPr vert="horz" wrap="square" lIns="121899" tIns="1828480" rIns="54861" bIns="54861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marL="0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182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363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545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727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5909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090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272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454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02827" indent="-302827" defTabSz="1218735" fontAlgn="base">
                            <a:lnSpc>
                              <a:spcPct val="90000"/>
                            </a:lnSpc>
                            <a:spcBef>
                              <a:spcPts val="840"/>
                            </a:spcBef>
                            <a:spcAft>
                              <a:spcPct val="0"/>
                            </a:spcAft>
                            <a:buSzPct val="70000"/>
                            <a:buBlip>
                              <a:blip r:embed="rId10"/>
                            </a:buBlip>
                            <a:defRPr/>
                          </a:pPr>
                          <a:endParaRPr lang="en-US" altLang="zh-CN" sz="1600" spc="-53" dirty="0" smtClean="0">
                            <a:ln>
                              <a:solidFill>
                                <a:schemeClr val="tx2"/>
                              </a:solidFill>
                            </a:ln>
                            <a:solidFill>
                              <a:schemeClr val="tx1"/>
                            </a:solidFill>
                            <a:latin typeface="Segoe UI" pitchFamily="34" charset="0"/>
                            <a:ea typeface="Segoe UI" pitchFamily="34" charset="0"/>
                            <a:cs typeface="Segoe U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5" name="Rectangle 124"/>
                      <a:cNvSpPr/>
                    </a:nvSpPr>
                    <a:spPr>
                      <a:xfrm>
                        <a:off x="300338" y="3112262"/>
                        <a:ext cx="5757562" cy="66479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lIns="0" tIns="0" rIns="0" bIns="0" anchor="ctr" anchorCtr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182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363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545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727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5909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090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272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454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lnSpc>
                              <a:spcPct val="90000"/>
                            </a:lnSpc>
                            <a:spcBef>
                              <a:spcPts val="631"/>
                            </a:spcBef>
                            <a:spcAft>
                              <a:spcPct val="0"/>
                            </a:spcAft>
                            <a:defRPr/>
                          </a:pPr>
                          <a:r>
                            <a:rPr lang="en-US" altLang="zh-CN" sz="4800" b="1" spc="-200" dirty="0" smtClean="0">
                              <a:gradFill flip="none" rotWithShape="1">
                                <a:gsLst>
                                  <a:gs pos="0">
                                    <a:schemeClr val="tx1"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tx1"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tx1"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atin typeface="Segoe Light" pitchFamily="34" charset="0"/>
                            </a:rPr>
                            <a:t>Private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6" name="Rectangle 125"/>
                      <a:cNvSpPr/>
                    </a:nvSpPr>
                    <a:spPr>
                      <a:xfrm>
                        <a:off x="6057900" y="3112262"/>
                        <a:ext cx="5869932" cy="66479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lIns="0" tIns="0" rIns="0" bIns="0" anchor="ctr" anchorCtr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182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363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545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727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5909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090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272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454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lnSpc>
                              <a:spcPct val="90000"/>
                            </a:lnSpc>
                            <a:spcBef>
                              <a:spcPts val="631"/>
                            </a:spcBef>
                            <a:spcAft>
                              <a:spcPct val="0"/>
                            </a:spcAft>
                            <a:defRPr/>
                          </a:pPr>
                          <a:r>
                            <a:rPr lang="en-US" altLang="zh-CN" sz="4800" b="1" spc="-200" dirty="0" smtClean="0">
                              <a:gradFill flip="none" rotWithShape="1">
                                <a:gsLst>
                                  <a:gs pos="0">
                                    <a:schemeClr val="tx1"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tx1"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tx1"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atin typeface="Segoe Light" pitchFamily="34" charset="0"/>
                            </a:rPr>
                            <a:t>Public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28" name="Picture 3" descr="C:\Users\monical\Desktop\ADMIN\DVD_ART34\Artwork_Imagery\Icons - Illustrations\_Other Hardware icons\Data Center Servers datacenter istock.png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 r="59898"/>
                      <a:stretch>
                        <a:fillRect/>
                      </a:stretch>
                    </a:blipFill>
                    <a:spPr bwMode="auto">
                      <a:xfrm>
                        <a:off x="566132" y="4210050"/>
                        <a:ext cx="3048573" cy="287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129" name="Picture 18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 b="61678"/>
                      <a:stretch>
                        <a:fillRect/>
                      </a:stretch>
                    </a:blipFill>
                    <a:spPr bwMode="auto">
                      <a:xfrm>
                        <a:off x="6861655" y="4641679"/>
                        <a:ext cx="4416430" cy="2216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131" name="Picture 3" descr="C:\Users\monical\Desktop\ADMIN\DVD_ART34\Artwork_Imagery\Icons - Illustrations\_Other Hardware icons\Data Center Servers datacenter istock.png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 r="59898"/>
                      <a:stretch>
                        <a:fillRect/>
                      </a:stretch>
                    </a:blipFill>
                    <a:spPr bwMode="auto">
                      <a:xfrm>
                        <a:off x="3014617" y="4210050"/>
                        <a:ext cx="3048573" cy="287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grpSp>
                    <a:nvGrpSpPr>
                      <a:cNvPr id="2" name="Group 54"/>
                      <a:cNvGrpSpPr/>
                    </a:nvGrpSpPr>
                    <a:grpSpPr>
                      <a:xfrm>
                        <a:off x="2692923" y="3833813"/>
                        <a:ext cx="6460601" cy="1838534"/>
                        <a:chOff x="1783770" y="3830884"/>
                        <a:chExt cx="8293713" cy="2094787"/>
                      </a:xfrm>
                    </a:grpSpPr>
                    <a:sp>
                      <a:nvSpPr>
                        <a:cNvPr id="68" name="Freeform 67"/>
                        <a:cNvSpPr/>
                      </a:nvSpPr>
                      <a:spPr>
                        <a:xfrm flipV="1">
                          <a:off x="6221507" y="3872752"/>
                          <a:ext cx="3836893" cy="1757081"/>
                        </a:xfrm>
                        <a:custGeom>
                          <a:avLst/>
                          <a:gdLst>
                            <a:gd name="connsiteX0" fmla="*/ 0 w 3771900"/>
                            <a:gd name="connsiteY0" fmla="*/ 0 h 1409700"/>
                            <a:gd name="connsiteX1" fmla="*/ 3771900 w 3771900"/>
                            <a:gd name="connsiteY1" fmla="*/ 1409700 h 1409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771900" h="1409700">
                              <a:moveTo>
                                <a:pt x="0" y="0"/>
                              </a:moveTo>
                              <a:lnTo>
                                <a:pt x="3771900" y="14097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00B0F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42" name="Freeform 41"/>
                        <a:cNvSpPr/>
                      </a:nvSpPr>
                      <a:spPr>
                        <a:xfrm>
                          <a:off x="2139352" y="3875830"/>
                          <a:ext cx="4073190" cy="1601605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1333500"/>
                            <a:gd name="connsiteX1" fmla="*/ 247650 w 247650"/>
                            <a:gd name="connsiteY1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7650" h="1333500">
                              <a:moveTo>
                                <a:pt x="0" y="0"/>
                              </a:moveTo>
                              <a:lnTo>
                                <a:pt x="247650" y="13335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00B0F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8" name="Freeform 37"/>
                        <a:cNvSpPr/>
                      </a:nvSpPr>
                      <a:spPr>
                        <a:xfrm>
                          <a:off x="2120067" y="3866536"/>
                          <a:ext cx="4002827" cy="1763299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1333500"/>
                            <a:gd name="connsiteX1" fmla="*/ 247650 w 247650"/>
                            <a:gd name="connsiteY1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7650" h="1333500">
                              <a:moveTo>
                                <a:pt x="0" y="0"/>
                              </a:moveTo>
                              <a:lnTo>
                                <a:pt x="247650" y="13335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92D05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03" name="Freeform 102"/>
                        <a:cNvSpPr/>
                      </a:nvSpPr>
                      <a:spPr>
                        <a:xfrm flipV="1">
                          <a:off x="9721962" y="3854822"/>
                          <a:ext cx="345402" cy="1780355"/>
                        </a:xfrm>
                        <a:custGeom>
                          <a:avLst/>
                          <a:gdLst>
                            <a:gd name="connsiteX0" fmla="*/ 0 w 3771900"/>
                            <a:gd name="connsiteY0" fmla="*/ 0 h 1409700"/>
                            <a:gd name="connsiteX1" fmla="*/ 3771900 w 3771900"/>
                            <a:gd name="connsiteY1" fmla="*/ 1409700 h 1409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771900" h="1409700">
                              <a:moveTo>
                                <a:pt x="0" y="0"/>
                              </a:moveTo>
                              <a:lnTo>
                                <a:pt x="3771900" y="14097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FFC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07" name="Freeform 106"/>
                        <a:cNvSpPr/>
                      </a:nvSpPr>
                      <a:spPr>
                        <a:xfrm flipV="1">
                          <a:off x="2662518" y="3854823"/>
                          <a:ext cx="7413812" cy="1748117"/>
                        </a:xfrm>
                        <a:custGeom>
                          <a:avLst/>
                          <a:gdLst>
                            <a:gd name="connsiteX0" fmla="*/ 0 w 3771900"/>
                            <a:gd name="connsiteY0" fmla="*/ 0 h 1409700"/>
                            <a:gd name="connsiteX1" fmla="*/ 3771900 w 3771900"/>
                            <a:gd name="connsiteY1" fmla="*/ 1409700 h 1409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771900" h="1409700">
                              <a:moveTo>
                                <a:pt x="0" y="0"/>
                              </a:moveTo>
                              <a:lnTo>
                                <a:pt x="3771900" y="14097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92D05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08" name="Freeform 107"/>
                        <a:cNvSpPr/>
                      </a:nvSpPr>
                      <a:spPr>
                        <a:xfrm flipV="1">
                          <a:off x="5970495" y="3872752"/>
                          <a:ext cx="4087906" cy="1613648"/>
                        </a:xfrm>
                        <a:custGeom>
                          <a:avLst/>
                          <a:gdLst>
                            <a:gd name="connsiteX0" fmla="*/ 0 w 3771900"/>
                            <a:gd name="connsiteY0" fmla="*/ 0 h 1409700"/>
                            <a:gd name="connsiteX1" fmla="*/ 3771900 w 3771900"/>
                            <a:gd name="connsiteY1" fmla="*/ 1409700 h 1409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771900" h="1409700">
                              <a:moveTo>
                                <a:pt x="0" y="0"/>
                              </a:moveTo>
                              <a:lnTo>
                                <a:pt x="3771900" y="14097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FFC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09" name="Freeform 108"/>
                        <a:cNvSpPr/>
                      </a:nvSpPr>
                      <a:spPr>
                        <a:xfrm flipH="1">
                          <a:off x="1863303" y="3852590"/>
                          <a:ext cx="8214180" cy="1743273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1333500"/>
                            <a:gd name="connsiteX1" fmla="*/ 247650 w 247650"/>
                            <a:gd name="connsiteY1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7650" h="1333500">
                              <a:moveTo>
                                <a:pt x="0" y="0"/>
                              </a:moveTo>
                              <a:lnTo>
                                <a:pt x="247650" y="13335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00B0F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12" name="Freeform 111"/>
                        <a:cNvSpPr/>
                      </a:nvSpPr>
                      <a:spPr>
                        <a:xfrm flipV="1">
                          <a:off x="10012680" y="3836309"/>
                          <a:ext cx="58691" cy="1956127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1333500"/>
                            <a:gd name="connsiteX1" fmla="*/ 247650 w 247650"/>
                            <a:gd name="connsiteY1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7650" h="1333500">
                              <a:moveTo>
                                <a:pt x="0" y="0"/>
                              </a:moveTo>
                              <a:lnTo>
                                <a:pt x="247650" y="13335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00B0F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13" name="Freeform 112"/>
                        <a:cNvSpPr/>
                      </a:nvSpPr>
                      <a:spPr>
                        <a:xfrm flipH="1">
                          <a:off x="1783770" y="3830884"/>
                          <a:ext cx="351890" cy="2094787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1333500"/>
                            <a:gd name="connsiteX1" fmla="*/ 247650 w 247650"/>
                            <a:gd name="connsiteY1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7650" h="1333500">
                              <a:moveTo>
                                <a:pt x="0" y="0"/>
                              </a:moveTo>
                              <a:lnTo>
                                <a:pt x="247650" y="13335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92D05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14" name="Freeform 113"/>
                        <a:cNvSpPr/>
                      </a:nvSpPr>
                      <a:spPr>
                        <a:xfrm>
                          <a:off x="2115671" y="3863788"/>
                          <a:ext cx="7628964" cy="1972236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1333500"/>
                            <a:gd name="connsiteX1" fmla="*/ 247650 w 247650"/>
                            <a:gd name="connsiteY1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7650" h="1333500">
                              <a:moveTo>
                                <a:pt x="0" y="0"/>
                              </a:moveTo>
                              <a:lnTo>
                                <a:pt x="247650" y="13335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FFC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11" name="Freeform 110"/>
                        <a:cNvSpPr/>
                      </a:nvSpPr>
                      <a:spPr>
                        <a:xfrm>
                          <a:off x="2130726" y="3846343"/>
                          <a:ext cx="7841410" cy="1955923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1333500"/>
                            <a:gd name="connsiteX1" fmla="*/ 247650 w 247650"/>
                            <a:gd name="connsiteY1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7650" h="1333500">
                              <a:moveTo>
                                <a:pt x="0" y="0"/>
                              </a:moveTo>
                              <a:lnTo>
                                <a:pt x="247650" y="13335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00B0F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10" name="Freeform 109"/>
                        <a:cNvSpPr/>
                      </a:nvSpPr>
                      <a:spPr>
                        <a:xfrm>
                          <a:off x="2132692" y="3833596"/>
                          <a:ext cx="405443" cy="1648723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1333500"/>
                            <a:gd name="connsiteX1" fmla="*/ 247650 w 247650"/>
                            <a:gd name="connsiteY1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7650" h="1333500">
                              <a:moveTo>
                                <a:pt x="0" y="0"/>
                              </a:moveTo>
                              <a:lnTo>
                                <a:pt x="247650" y="13335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FFC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762E1" w:rsidRPr="0001333B" w:rsidRDefault="006762E1" w:rsidP="0001333B">
      <w:pPr>
        <w:spacing w:after="0"/>
        <w:rPr>
          <w:rFonts w:ascii="Segoe UI" w:hAnsi="Segoe UI" w:cs="Segoe UI"/>
          <w:color w:val="1D1B11"/>
          <w:sz w:val="18"/>
          <w:szCs w:val="18"/>
        </w:rPr>
      </w:pPr>
      <w:r w:rsidRPr="0001333B">
        <w:rPr>
          <w:rFonts w:ascii="Segoe UI" w:hAnsi="Segoe UI" w:cs="Segoe UI"/>
          <w:b/>
          <w:color w:val="002060"/>
          <w:sz w:val="20"/>
          <w:szCs w:val="18"/>
        </w:rPr>
        <w:t>Private Cloud</w:t>
      </w:r>
      <w:r w:rsidRPr="0001333B">
        <w:rPr>
          <w:rFonts w:ascii="Segoe UI" w:hAnsi="Segoe UI" w:cs="Segoe UI"/>
          <w:color w:val="1D1B11"/>
          <w:sz w:val="20"/>
          <w:szCs w:val="18"/>
        </w:rPr>
        <w:t xml:space="preserve"> </w:t>
      </w:r>
      <w:r w:rsidRPr="0001333B">
        <w:rPr>
          <w:rFonts w:ascii="Segoe UI" w:hAnsi="Segoe UI" w:cs="Segoe UI"/>
          <w:color w:val="1D1B11"/>
          <w:sz w:val="18"/>
          <w:szCs w:val="18"/>
        </w:rPr>
        <w:t>- an internal service-oriented environment optimized for performance and cost that is deployed inside a customer’s datacenter. Powered by packaged server products including Windows Server</w:t>
      </w:r>
      <w:r>
        <w:rPr>
          <w:rFonts w:ascii="Segoe UI" w:hAnsi="Segoe UI" w:cs="Segoe UI"/>
          <w:color w:val="1D1B11"/>
          <w:sz w:val="18"/>
          <w:szCs w:val="18"/>
        </w:rPr>
        <w:t>®</w:t>
      </w:r>
      <w:r w:rsidRPr="0001333B">
        <w:rPr>
          <w:rFonts w:ascii="Segoe UI" w:hAnsi="Segoe UI" w:cs="Segoe UI"/>
          <w:color w:val="1D1B11"/>
          <w:sz w:val="18"/>
          <w:szCs w:val="18"/>
        </w:rPr>
        <w:t xml:space="preserve"> and </w:t>
      </w:r>
      <w:r>
        <w:rPr>
          <w:rFonts w:ascii="Segoe UI" w:hAnsi="Segoe UI" w:cs="Segoe UI"/>
          <w:color w:val="1D1B11"/>
          <w:sz w:val="18"/>
          <w:szCs w:val="18"/>
        </w:rPr>
        <w:t xml:space="preserve">Microsoft® </w:t>
      </w:r>
      <w:smartTag w:uri="urn:schemas-microsoft-com:office:smarttags" w:element="place">
        <w:smartTag w:uri="urn:schemas-microsoft-com:office:smarttags" w:element="PlaceName">
          <w:r w:rsidRPr="0001333B">
            <w:rPr>
              <w:rFonts w:ascii="Segoe UI" w:hAnsi="Segoe UI" w:cs="Segoe UI"/>
              <w:color w:val="1D1B11"/>
              <w:sz w:val="18"/>
              <w:szCs w:val="18"/>
            </w:rPr>
            <w:t>System</w:t>
          </w:r>
        </w:smartTag>
        <w:r w:rsidRPr="0001333B">
          <w:rPr>
            <w:rFonts w:ascii="Segoe UI" w:hAnsi="Segoe UI" w:cs="Segoe UI"/>
            <w:color w:val="1D1B11"/>
            <w:sz w:val="18"/>
            <w:szCs w:val="18"/>
          </w:rPr>
          <w:t xml:space="preserve"> </w:t>
        </w:r>
        <w:smartTag w:uri="urn:schemas-microsoft-com:office:smarttags" w:element="PlaceType">
          <w:r w:rsidRPr="0001333B">
            <w:rPr>
              <w:rFonts w:ascii="Segoe UI" w:hAnsi="Segoe UI" w:cs="Segoe UI"/>
              <w:color w:val="1D1B11"/>
              <w:sz w:val="18"/>
              <w:szCs w:val="18"/>
            </w:rPr>
            <w:t>Center</w:t>
          </w:r>
        </w:smartTag>
      </w:smartTag>
      <w:r w:rsidRPr="0001333B">
        <w:rPr>
          <w:rFonts w:ascii="Segoe UI" w:hAnsi="Segoe UI" w:cs="Segoe UI"/>
          <w:color w:val="1D1B11"/>
          <w:sz w:val="18"/>
          <w:szCs w:val="18"/>
        </w:rPr>
        <w:t xml:space="preserve"> family of products, private cloud provides compatibility with existing applications. </w:t>
      </w:r>
    </w:p>
    <w:p w:rsidR="006762E1" w:rsidRDefault="006762E1" w:rsidP="0001333B">
      <w:pPr>
        <w:spacing w:after="0"/>
        <w:rPr>
          <w:rFonts w:ascii="Segoe UI" w:hAnsi="Segoe UI" w:cs="Segoe UI"/>
          <w:b/>
          <w:color w:val="002060"/>
          <w:sz w:val="20"/>
          <w:szCs w:val="18"/>
        </w:rPr>
      </w:pPr>
    </w:p>
    <w:p w:rsidR="006762E1" w:rsidRPr="0001333B" w:rsidRDefault="006762E1" w:rsidP="0001333B">
      <w:pPr>
        <w:spacing w:after="0"/>
        <w:rPr>
          <w:rFonts w:ascii="Segoe UI" w:hAnsi="Segoe UI" w:cs="Segoe UI"/>
          <w:color w:val="1D1B11"/>
          <w:sz w:val="18"/>
          <w:szCs w:val="18"/>
        </w:rPr>
      </w:pPr>
      <w:r w:rsidRPr="0001333B">
        <w:rPr>
          <w:rFonts w:ascii="Segoe UI" w:hAnsi="Segoe UI" w:cs="Segoe UI"/>
          <w:b/>
          <w:color w:val="002060"/>
          <w:sz w:val="20"/>
          <w:szCs w:val="18"/>
        </w:rPr>
        <w:t>Public Cloud</w:t>
      </w:r>
      <w:r w:rsidRPr="0001333B">
        <w:rPr>
          <w:rFonts w:ascii="Segoe UI" w:hAnsi="Segoe UI" w:cs="Segoe UI"/>
          <w:color w:val="1D1B11"/>
          <w:sz w:val="20"/>
          <w:szCs w:val="18"/>
        </w:rPr>
        <w:t xml:space="preserve"> </w:t>
      </w:r>
      <w:r w:rsidRPr="0001333B">
        <w:rPr>
          <w:rFonts w:ascii="Segoe UI" w:hAnsi="Segoe UI" w:cs="Segoe UI"/>
          <w:color w:val="1D1B11"/>
          <w:sz w:val="18"/>
          <w:szCs w:val="18"/>
        </w:rPr>
        <w:t>- provided by service providers and offering customers the ability to deploy and consume services. In this category, Azure is a highly scalable services platform providing pay–as-you-go flexibility delivered from Microsoft’s datacenters.</w:t>
      </w:r>
    </w:p>
    <w:p w:rsidR="006762E1" w:rsidRPr="00803553" w:rsidRDefault="006762E1" w:rsidP="0001333B">
      <w:pPr>
        <w:spacing w:after="0"/>
        <w:outlineLvl w:val="0"/>
        <w:rPr>
          <w:rFonts w:ascii="Segoe UI" w:hAnsi="Segoe UI" w:cs="Segoe UI"/>
          <w:sz w:val="20"/>
          <w:szCs w:val="20"/>
        </w:rPr>
      </w:pPr>
    </w:p>
    <w:p w:rsidR="006762E1" w:rsidRDefault="006762E1" w:rsidP="0001333B">
      <w:pPr>
        <w:spacing w:after="0"/>
        <w:jc w:val="both"/>
        <w:rPr>
          <w:rFonts w:ascii="Segoe UI" w:hAnsi="Segoe UI" w:cs="Segoe UI"/>
          <w:b/>
          <w:bCs/>
          <w:color w:val="002060"/>
          <w:sz w:val="20"/>
          <w:szCs w:val="18"/>
        </w:rPr>
      </w:pPr>
      <w:r w:rsidRPr="0001333B">
        <w:rPr>
          <w:rFonts w:ascii="Segoe UI" w:hAnsi="Segoe UI" w:cs="Segoe UI"/>
          <w:b/>
          <w:bCs/>
          <w:color w:val="002060"/>
          <w:sz w:val="20"/>
          <w:szCs w:val="18"/>
        </w:rPr>
        <w:t>What are the key benefits of cloud computing?</w:t>
      </w:r>
    </w:p>
    <w:p w:rsidR="006762E1" w:rsidRPr="0001333B" w:rsidRDefault="006762E1" w:rsidP="0001333B">
      <w:pPr>
        <w:spacing w:after="0"/>
        <w:jc w:val="both"/>
        <w:rPr>
          <w:rFonts w:ascii="Segoe UI" w:hAnsi="Segoe UI" w:cs="Segoe UI"/>
          <w:b/>
          <w:bCs/>
          <w:color w:val="002060"/>
          <w:sz w:val="20"/>
          <w:szCs w:val="18"/>
        </w:rPr>
      </w:pPr>
      <w:r>
        <w:rPr>
          <w:rFonts w:ascii="Segoe UI" w:hAnsi="Segoe UI" w:cs="Segoe UI"/>
          <w:sz w:val="18"/>
          <w:szCs w:val="18"/>
        </w:rPr>
        <w:t>As we enable our customers on this path, Microsoft will deliver the technology that allows enterprises to build a private cloud within their datacenters based on enhancements to Windows Server and System Center.  This portfolio represents infrastructure, service and application development tools for clouds that offer:</w:t>
      </w:r>
    </w:p>
    <w:p w:rsidR="006762E1" w:rsidRDefault="006762E1" w:rsidP="0001333B">
      <w:pPr>
        <w:pStyle w:val="ListParagraph"/>
        <w:numPr>
          <w:ilvl w:val="0"/>
          <w:numId w:val="15"/>
        </w:numPr>
        <w:spacing w:after="0"/>
        <w:contextualSpacing w:val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A flexible and familiar infrastructure with a common Windows-based platform to build and deploy applications across clouds, and reduce development and deployment time on new services. </w:t>
      </w:r>
    </w:p>
    <w:p w:rsidR="006762E1" w:rsidRDefault="006762E1" w:rsidP="0001333B">
      <w:pPr>
        <w:pStyle w:val="ListParagraph"/>
        <w:numPr>
          <w:ilvl w:val="0"/>
          <w:numId w:val="15"/>
        </w:numPr>
        <w:spacing w:after="0"/>
        <w:contextualSpacing w:val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Integrated resource fabrics that enable federated services across clouds, helping ensure capacity and resources needed to achieve business requirements.  Ideal for allowing overdraft protection for application services into a public cloud.</w:t>
      </w:r>
    </w:p>
    <w:p w:rsidR="006762E1" w:rsidRDefault="006762E1" w:rsidP="0001333B">
      <w:pPr>
        <w:pStyle w:val="ListParagraph"/>
        <w:numPr>
          <w:ilvl w:val="0"/>
          <w:numId w:val="15"/>
        </w:numPr>
        <w:spacing w:after="0"/>
        <w:contextualSpacing w:val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The agility to develop applications and services once, deploy them in, and across any cloud environment, enabling rapid response to changing business needs. </w:t>
      </w:r>
    </w:p>
    <w:p w:rsidR="006762E1" w:rsidRDefault="006762E1">
      <w:pPr>
        <w:rPr>
          <w:rFonts w:ascii="Segoe UI" w:hAnsi="Segoe UI" w:cs="Segoe UI"/>
          <w:b/>
          <w:bCs/>
          <w:color w:val="002060"/>
          <w:sz w:val="20"/>
          <w:szCs w:val="18"/>
        </w:rPr>
      </w:pPr>
      <w:r>
        <w:rPr>
          <w:rFonts w:ascii="Segoe UI" w:hAnsi="Segoe UI" w:cs="Segoe UI"/>
          <w:b/>
          <w:bCs/>
          <w:color w:val="002060"/>
          <w:sz w:val="20"/>
          <w:szCs w:val="18"/>
        </w:rPr>
        <w:br w:type="page"/>
      </w:r>
    </w:p>
    <w:p w:rsidR="006762E1" w:rsidRPr="0001333B" w:rsidRDefault="006762E1" w:rsidP="0001333B">
      <w:pPr>
        <w:spacing w:after="0"/>
        <w:rPr>
          <w:rFonts w:ascii="Segoe UI" w:hAnsi="Segoe UI" w:cs="Segoe UI"/>
          <w:b/>
          <w:bCs/>
          <w:color w:val="002060"/>
          <w:sz w:val="20"/>
          <w:szCs w:val="18"/>
        </w:rPr>
      </w:pPr>
      <w:r w:rsidRPr="0001333B">
        <w:rPr>
          <w:rFonts w:ascii="Segoe UI" w:hAnsi="Segoe UI" w:cs="Segoe UI"/>
          <w:b/>
          <w:bCs/>
          <w:color w:val="002060"/>
          <w:sz w:val="20"/>
          <w:szCs w:val="18"/>
        </w:rPr>
        <w:lastRenderedPageBreak/>
        <w:t xml:space="preserve">What is unique about Microsoft’s cloud strategy? </w:t>
      </w:r>
    </w:p>
    <w:p w:rsidR="006762E1" w:rsidRDefault="006762E1" w:rsidP="0001333B">
      <w:pPr>
        <w:spacing w:after="0"/>
        <w:jc w:val="both"/>
        <w:rPr>
          <w:rFonts w:ascii="Segoe UI" w:hAnsi="Segoe UI" w:cs="Segoe UI"/>
          <w:color w:val="1D1B11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With Microsoft’s cloud strategy, a complete set of components to deliver datacenter services; </w:t>
      </w:r>
      <w:r>
        <w:rPr>
          <w:rFonts w:ascii="Segoe UI" w:hAnsi="Segoe UI" w:cs="Segoe UI"/>
          <w:color w:val="1F497D"/>
          <w:sz w:val="18"/>
          <w:szCs w:val="18"/>
        </w:rPr>
        <w:t>i</w:t>
      </w:r>
      <w:r>
        <w:rPr>
          <w:rFonts w:ascii="Segoe UI" w:hAnsi="Segoe UI" w:cs="Segoe UI"/>
          <w:sz w:val="18"/>
          <w:szCs w:val="18"/>
        </w:rPr>
        <w:t xml:space="preserve">nfrastructure, applications, management, and security, are combined with best practices to enable a service oriented infrastructure today. This allows </w:t>
      </w:r>
      <w:r>
        <w:rPr>
          <w:rFonts w:ascii="Segoe UI" w:hAnsi="Segoe UI" w:cs="Segoe UI"/>
          <w:color w:val="1D1B11"/>
          <w:sz w:val="18"/>
          <w:szCs w:val="18"/>
        </w:rPr>
        <w:t>customers to maximize returns on their existing applications as they transition to a cloud computing paradigm while providing opportunities to take advantage of new approaches for application and service development.</w:t>
      </w:r>
    </w:p>
    <w:p w:rsidR="006762E1" w:rsidRDefault="006762E1" w:rsidP="0001333B">
      <w:pPr>
        <w:spacing w:after="0"/>
        <w:jc w:val="both"/>
        <w:rPr>
          <w:rFonts w:ascii="Segoe UI" w:hAnsi="Segoe UI" w:cs="Segoe UI"/>
          <w:color w:val="FF0000"/>
          <w:sz w:val="18"/>
          <w:szCs w:val="18"/>
        </w:rPr>
      </w:pPr>
    </w:p>
    <w:p w:rsidR="006762E1" w:rsidRDefault="006762E1" w:rsidP="0001333B">
      <w:pPr>
        <w:spacing w:after="0"/>
        <w:jc w:val="both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Microsoft is uniquely positioned to deliver a range of capabilities that provide customers with:</w:t>
      </w:r>
    </w:p>
    <w:p w:rsidR="006762E1" w:rsidRDefault="006762E1" w:rsidP="0001333B">
      <w:pPr>
        <w:spacing w:after="0"/>
        <w:jc w:val="both"/>
        <w:rPr>
          <w:rFonts w:ascii="Segoe UI" w:hAnsi="Segoe UI" w:cs="Segoe UI"/>
          <w:sz w:val="18"/>
          <w:szCs w:val="18"/>
        </w:rPr>
      </w:pPr>
    </w:p>
    <w:p w:rsidR="006762E1" w:rsidRDefault="006762E1" w:rsidP="00D23A55">
      <w:pPr>
        <w:pStyle w:val="ListParagraph"/>
        <w:numPr>
          <w:ilvl w:val="0"/>
          <w:numId w:val="18"/>
        </w:numPr>
        <w:spacing w:after="0"/>
        <w:jc w:val="both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Virtualized infrastructure</w:t>
      </w:r>
    </w:p>
    <w:p w:rsidR="006762E1" w:rsidRDefault="006762E1" w:rsidP="00D23A55">
      <w:pPr>
        <w:pStyle w:val="ListParagraph"/>
        <w:numPr>
          <w:ilvl w:val="0"/>
          <w:numId w:val="18"/>
        </w:numPr>
        <w:spacing w:after="0"/>
        <w:jc w:val="both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Automated and service-oriented management environment</w:t>
      </w:r>
    </w:p>
    <w:p w:rsidR="006762E1" w:rsidRDefault="006762E1" w:rsidP="00D23A55">
      <w:pPr>
        <w:pStyle w:val="ListParagraph"/>
        <w:numPr>
          <w:ilvl w:val="0"/>
          <w:numId w:val="18"/>
        </w:numPr>
        <w:spacing w:after="0"/>
        <w:jc w:val="both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Common application platform &amp; development tools</w:t>
      </w:r>
    </w:p>
    <w:p w:rsidR="006762E1" w:rsidRDefault="006762E1" w:rsidP="00D23A55">
      <w:pPr>
        <w:pStyle w:val="ListParagraph"/>
        <w:numPr>
          <w:ilvl w:val="0"/>
          <w:numId w:val="18"/>
        </w:numPr>
        <w:spacing w:after="0"/>
        <w:jc w:val="both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Integrated identity, protection, and access technologies</w:t>
      </w:r>
    </w:p>
    <w:p w:rsidR="006762E1" w:rsidRPr="00D23A55" w:rsidRDefault="006762E1" w:rsidP="00D23A55">
      <w:pPr>
        <w:pStyle w:val="ListParagraph"/>
        <w:numPr>
          <w:ilvl w:val="0"/>
          <w:numId w:val="18"/>
        </w:numPr>
        <w:spacing w:after="0"/>
        <w:jc w:val="both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Physical and virtual management</w:t>
      </w:r>
    </w:p>
    <w:p w:rsidR="006762E1" w:rsidRDefault="006762E1" w:rsidP="0001333B">
      <w:pPr>
        <w:spacing w:after="0"/>
        <w:rPr>
          <w:rFonts w:ascii="Segoe UI" w:hAnsi="Segoe UI" w:cs="Segoe UI"/>
          <w:b/>
          <w:bCs/>
          <w:sz w:val="20"/>
          <w:szCs w:val="20"/>
        </w:rPr>
      </w:pPr>
    </w:p>
    <w:p w:rsidR="006762E1" w:rsidRDefault="006762E1" w:rsidP="00D23A55">
      <w:pPr>
        <w:pStyle w:val="Heading2"/>
        <w:spacing w:before="0"/>
        <w:rPr>
          <w:rFonts w:ascii="Segoe UI" w:hAnsi="Segoe UI" w:cs="Segoe UI"/>
          <w:color w:val="002060"/>
          <w:sz w:val="20"/>
          <w:szCs w:val="20"/>
        </w:rPr>
      </w:pPr>
      <w:r w:rsidRPr="0001333B">
        <w:rPr>
          <w:rFonts w:ascii="Segoe UI" w:hAnsi="Segoe UI" w:cs="Segoe UI"/>
          <w:color w:val="002060"/>
          <w:sz w:val="20"/>
          <w:szCs w:val="20"/>
        </w:rPr>
        <w:t>Get Started Quickly</w:t>
      </w:r>
    </w:p>
    <w:p w:rsidR="006762E1" w:rsidRDefault="006762E1" w:rsidP="00D23A55">
      <w:pPr>
        <w:spacing w:after="0"/>
        <w:rPr>
          <w:rFonts w:ascii="Segoe UI" w:hAnsi="Segoe UI" w:cs="Segoe UI"/>
          <w:color w:val="000026"/>
          <w:sz w:val="18"/>
          <w:szCs w:val="18"/>
        </w:rPr>
      </w:pPr>
      <w:r>
        <w:rPr>
          <w:rFonts w:ascii="Segoe UI" w:hAnsi="Segoe UI" w:cs="Segoe UI"/>
          <w:color w:val="000026"/>
          <w:sz w:val="18"/>
          <w:szCs w:val="18"/>
        </w:rPr>
        <w:t>Microsoft is offering customers and hosting partners solution accelerators to help build the foundation for a cloud infrastructure:</w:t>
      </w:r>
    </w:p>
    <w:p w:rsidR="006762E1" w:rsidRDefault="006762E1" w:rsidP="00D23A55">
      <w:pPr>
        <w:spacing w:after="0"/>
        <w:rPr>
          <w:rFonts w:ascii="Segoe UI" w:hAnsi="Segoe UI" w:cs="Segoe UI"/>
          <w:sz w:val="18"/>
          <w:szCs w:val="18"/>
        </w:rPr>
      </w:pPr>
    </w:p>
    <w:p w:rsidR="006762E1" w:rsidRDefault="006762E1" w:rsidP="00D23A55">
      <w:pPr>
        <w:pStyle w:val="ListParagraph"/>
        <w:numPr>
          <w:ilvl w:val="0"/>
          <w:numId w:val="19"/>
        </w:numPr>
        <w:spacing w:after="0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Dynamic Datacenter Toolkit for Hosters – Available today!</w:t>
      </w:r>
    </w:p>
    <w:p w:rsidR="006762E1" w:rsidRPr="00D23A55" w:rsidRDefault="00F54CF2" w:rsidP="00D23A55">
      <w:pPr>
        <w:pStyle w:val="ListParagraph"/>
        <w:numPr>
          <w:ilvl w:val="0"/>
          <w:numId w:val="19"/>
        </w:numPr>
        <w:spacing w:after="0"/>
        <w:rPr>
          <w:rFonts w:ascii="Segoe UI" w:hAnsi="Segoe UI" w:cs="Segoe UI"/>
          <w:sz w:val="18"/>
          <w:szCs w:val="18"/>
        </w:rPr>
      </w:pPr>
      <w:r w:rsidRPr="00613B10">
        <w:rPr>
          <w:rFonts w:ascii="Segoe UI" w:hAnsi="Segoe UI" w:cs="Segoe UI"/>
          <w:sz w:val="18"/>
          <w:szCs w:val="18"/>
        </w:rPr>
        <w:t>Dynamic Infrastructure Toolkit for System Center</w:t>
      </w:r>
      <w:r w:rsidR="006762E1" w:rsidRPr="00D23A55">
        <w:rPr>
          <w:rFonts w:ascii="Segoe UI" w:hAnsi="Segoe UI" w:cs="Segoe UI"/>
          <w:sz w:val="18"/>
          <w:szCs w:val="18"/>
        </w:rPr>
        <w:t>– Available Q4 2009</w:t>
      </w:r>
    </w:p>
    <w:p w:rsidR="006762E1" w:rsidRDefault="006762E1" w:rsidP="00D23A55">
      <w:pPr>
        <w:spacing w:after="0"/>
        <w:rPr>
          <w:rFonts w:ascii="Segoe UI" w:hAnsi="Segoe UI" w:cs="Segoe UI"/>
          <w:sz w:val="18"/>
          <w:szCs w:val="18"/>
        </w:rPr>
      </w:pPr>
    </w:p>
    <w:p w:rsidR="006762E1" w:rsidRDefault="006762E1" w:rsidP="00D23A55">
      <w:pPr>
        <w:spacing w:after="0"/>
        <w:rPr>
          <w:rFonts w:ascii="Segoe UI" w:hAnsi="Segoe UI" w:cs="Segoe UI"/>
          <w:color w:val="1F497D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Both solution accelerators will be available from Microsoft</w:t>
      </w:r>
      <w:r w:rsidR="000C47FC">
        <w:rPr>
          <w:rFonts w:ascii="Segoe UI" w:hAnsi="Segoe UI" w:cs="Segoe UI"/>
          <w:sz w:val="18"/>
          <w:szCs w:val="18"/>
        </w:rPr>
        <w:t xml:space="preserve"> at no</w:t>
      </w:r>
      <w:r>
        <w:rPr>
          <w:rFonts w:ascii="Segoe UI" w:hAnsi="Segoe UI" w:cs="Segoe UI"/>
          <w:sz w:val="18"/>
          <w:szCs w:val="18"/>
        </w:rPr>
        <w:t xml:space="preserve"> charge.  These toolkits will provide customers and hosting partners with the reference architecture, deployment guidance, </w:t>
      </w:r>
      <w:r w:rsidR="0035461B">
        <w:rPr>
          <w:rFonts w:ascii="Segoe UI" w:hAnsi="Segoe UI" w:cs="Segoe UI"/>
          <w:sz w:val="18"/>
          <w:szCs w:val="18"/>
        </w:rPr>
        <w:t>and best</w:t>
      </w:r>
      <w:r>
        <w:rPr>
          <w:rFonts w:ascii="Segoe UI" w:hAnsi="Segoe UI" w:cs="Segoe UI"/>
          <w:sz w:val="18"/>
          <w:szCs w:val="18"/>
        </w:rPr>
        <w:t xml:space="preserve"> practices for enabling the foundation for a cloud infrastructure today and help them move toward dynamic IT environment.  These offerings</w:t>
      </w:r>
      <w:r w:rsidR="000C47FC">
        <w:rPr>
          <w:rFonts w:ascii="Segoe UI" w:hAnsi="Segoe UI" w:cs="Segoe UI"/>
          <w:sz w:val="18"/>
          <w:szCs w:val="18"/>
        </w:rPr>
        <w:t xml:space="preserve"> work with</w:t>
      </w:r>
      <w:r>
        <w:rPr>
          <w:rFonts w:ascii="Segoe UI" w:hAnsi="Segoe UI" w:cs="Segoe UI"/>
          <w:sz w:val="18"/>
          <w:szCs w:val="18"/>
        </w:rPr>
        <w:t xml:space="preserve"> Windows Server and System Center family of products to </w:t>
      </w:r>
      <w:r w:rsidR="003C20A6">
        <w:rPr>
          <w:rFonts w:ascii="Segoe UI" w:hAnsi="Segoe UI" w:cs="Segoe UI"/>
          <w:sz w:val="18"/>
          <w:szCs w:val="18"/>
        </w:rPr>
        <w:t xml:space="preserve">utilize and </w:t>
      </w:r>
      <w:r>
        <w:rPr>
          <w:rFonts w:ascii="Segoe UI" w:hAnsi="Segoe UI" w:cs="Segoe UI"/>
          <w:sz w:val="18"/>
          <w:szCs w:val="18"/>
        </w:rPr>
        <w:t>help</w:t>
      </w:r>
      <w:r w:rsidR="003C20A6">
        <w:rPr>
          <w:rFonts w:ascii="Segoe UI" w:hAnsi="Segoe UI" w:cs="Segoe UI"/>
          <w:sz w:val="18"/>
          <w:szCs w:val="18"/>
        </w:rPr>
        <w:t xml:space="preserve"> </w:t>
      </w:r>
      <w:r>
        <w:rPr>
          <w:rFonts w:ascii="Segoe UI" w:hAnsi="Segoe UI" w:cs="Segoe UI"/>
          <w:sz w:val="18"/>
          <w:szCs w:val="18"/>
        </w:rPr>
        <w:t>extend existing investments in Microsoft technologies.</w:t>
      </w:r>
    </w:p>
    <w:p w:rsidR="006762E1" w:rsidRDefault="006762E1" w:rsidP="00A04224">
      <w:pPr>
        <w:rPr>
          <w:rFonts w:ascii="Segoe UI" w:hAnsi="Segoe UI" w:cs="Segoe UI"/>
          <w:b/>
          <w:bCs/>
          <w:color w:val="1F497D"/>
          <w:sz w:val="18"/>
          <w:szCs w:val="18"/>
        </w:rPr>
      </w:pPr>
    </w:p>
    <w:p w:rsidR="006762E1" w:rsidRDefault="006762E1" w:rsidP="00A04224">
      <w:r w:rsidRPr="0001333B">
        <w:rPr>
          <w:rFonts w:ascii="Segoe UI" w:hAnsi="Segoe UI" w:cs="Segoe UI"/>
          <w:color w:val="002060"/>
          <w:sz w:val="20"/>
          <w:szCs w:val="20"/>
        </w:rPr>
        <w:t xml:space="preserve">For more information, visit </w:t>
      </w:r>
      <w:hyperlink r:id="rId13" w:history="1">
        <w:r w:rsidR="00246D9E">
          <w:rPr>
            <w:rStyle w:val="Hyperlink"/>
          </w:rPr>
          <w:t>www.microsoft.com/privatecloud</w:t>
        </w:r>
      </w:hyperlink>
      <w:r w:rsidR="00246D9E">
        <w:t xml:space="preserve"> </w:t>
      </w:r>
    </w:p>
    <w:p w:rsidR="006762E1" w:rsidRDefault="006762E1" w:rsidP="00D23A55"/>
    <w:p w:rsidR="006762E1" w:rsidRDefault="006762E1" w:rsidP="00D23A55"/>
    <w:p w:rsidR="006762E1" w:rsidRDefault="006762E1" w:rsidP="00D23A55"/>
    <w:p w:rsidR="006762E1" w:rsidRDefault="006762E1" w:rsidP="00D23A55"/>
    <w:p w:rsidR="006762E1" w:rsidRDefault="006762E1" w:rsidP="00D23A55">
      <w:pPr>
        <w:rPr>
          <w:rFonts w:ascii="Segoe UI" w:hAnsi="Segoe UI" w:cs="Segoe UI"/>
          <w:bCs/>
          <w:sz w:val="20"/>
          <w:szCs w:val="20"/>
        </w:rPr>
      </w:pPr>
    </w:p>
    <w:p w:rsidR="006762E1" w:rsidRPr="00D23A55" w:rsidRDefault="006762E1" w:rsidP="00D23A55">
      <w:pPr>
        <w:rPr>
          <w:rFonts w:ascii="Segoe UI" w:hAnsi="Segoe UI" w:cs="Segoe UI"/>
          <w:sz w:val="20"/>
          <w:szCs w:val="20"/>
        </w:rPr>
      </w:pPr>
      <w:r w:rsidRPr="00D23A55">
        <w:rPr>
          <w:rFonts w:ascii="Segoe UI" w:hAnsi="Segoe UI" w:cs="Segoe UI"/>
          <w:bCs/>
          <w:sz w:val="20"/>
          <w:szCs w:val="20"/>
        </w:rPr>
        <w:t>This document is for informational purposes only.  MICROSOFT MAKES NO WARRANTIES, EXPRESS, IMPLIED OR STATUTORY, AS TO THE INFORMATION IN THIS DOCUMENT.</w:t>
      </w:r>
    </w:p>
    <w:p w:rsidR="006762E1" w:rsidRPr="00D23A55" w:rsidRDefault="006762E1" w:rsidP="00D23A55">
      <w:pPr>
        <w:rPr>
          <w:rFonts w:ascii="Segoe UI" w:hAnsi="Segoe UI" w:cs="Segoe UI"/>
          <w:sz w:val="20"/>
          <w:szCs w:val="20"/>
        </w:rPr>
      </w:pPr>
      <w:r w:rsidRPr="00D23A55">
        <w:rPr>
          <w:rFonts w:ascii="Symbol" w:hAnsi="Symbol"/>
          <w:bCs/>
          <w:sz w:val="20"/>
          <w:szCs w:val="20"/>
        </w:rPr>
        <w:t></w:t>
      </w:r>
      <w:r w:rsidRPr="00D23A55">
        <w:rPr>
          <w:rFonts w:ascii="Verdana" w:hAnsi="Verdana"/>
          <w:bCs/>
          <w:sz w:val="20"/>
          <w:szCs w:val="20"/>
        </w:rPr>
        <w:t xml:space="preserve"> </w:t>
      </w:r>
      <w:r w:rsidRPr="00D23A55">
        <w:rPr>
          <w:rFonts w:ascii="Segoe UI" w:hAnsi="Segoe UI" w:cs="Segoe UI"/>
          <w:bCs/>
          <w:sz w:val="20"/>
          <w:szCs w:val="20"/>
        </w:rPr>
        <w:t>2009 Microsoft Corporation.  All rights reserved. </w:t>
      </w:r>
    </w:p>
    <w:p w:rsidR="006762E1" w:rsidRPr="00C42B75" w:rsidRDefault="006762E1" w:rsidP="00D23A55">
      <w:pPr>
        <w:rPr>
          <w:rFonts w:ascii="Segoe UI" w:hAnsi="Segoe UI" w:cs="Segoe UI"/>
          <w:sz w:val="20"/>
          <w:szCs w:val="20"/>
        </w:rPr>
      </w:pPr>
      <w:r w:rsidRPr="00D23A55">
        <w:rPr>
          <w:rFonts w:ascii="Segoe UI" w:hAnsi="Segoe UI" w:cs="Segoe UI"/>
          <w:bCs/>
          <w:sz w:val="20"/>
          <w:szCs w:val="20"/>
        </w:rPr>
        <w:t xml:space="preserve">Microsoft, Windows, </w:t>
      </w:r>
      <w:smartTag w:uri="urn:schemas-microsoft-com:office:smarttags" w:element="country-region">
        <w:r w:rsidRPr="00D23A55">
          <w:rPr>
            <w:rFonts w:ascii="Segoe UI" w:hAnsi="Segoe UI" w:cs="Segoe UI"/>
            <w:bCs/>
            <w:sz w:val="20"/>
            <w:szCs w:val="20"/>
          </w:rPr>
          <w:t>System</w:t>
        </w:r>
      </w:smartTag>
      <w:r w:rsidRPr="00D23A55">
        <w:rPr>
          <w:rFonts w:ascii="Segoe UI" w:hAnsi="Segoe UI" w:cs="Segoe UI"/>
          <w:bCs/>
          <w:sz w:val="20"/>
          <w:szCs w:val="20"/>
        </w:rPr>
        <w:t xml:space="preserve"> </w:t>
      </w:r>
      <w:smartTag w:uri="urn:schemas-microsoft-com:office:smarttags" w:element="country-region">
        <w:r w:rsidRPr="00D23A55">
          <w:rPr>
            <w:rFonts w:ascii="Segoe UI" w:hAnsi="Segoe UI" w:cs="Segoe UI"/>
            <w:bCs/>
            <w:sz w:val="20"/>
            <w:szCs w:val="20"/>
          </w:rPr>
          <w:t>Center</w:t>
        </w:r>
      </w:smartTag>
      <w:r w:rsidRPr="00D23A55">
        <w:rPr>
          <w:rFonts w:ascii="Segoe UI" w:hAnsi="Segoe UI" w:cs="Segoe UI"/>
          <w:bCs/>
          <w:sz w:val="20"/>
          <w:szCs w:val="20"/>
        </w:rPr>
        <w:t xml:space="preserve">, and Azure are either registered trademarks or trademarks of Microsoft Corporation in the </w:t>
      </w:r>
      <w:smartTag w:uri="urn:schemas-microsoft-com:office:smarttags" w:element="country-region">
        <w:r w:rsidRPr="00D23A55">
          <w:rPr>
            <w:rFonts w:ascii="Segoe UI" w:hAnsi="Segoe UI" w:cs="Segoe UI"/>
            <w:bCs/>
            <w:sz w:val="20"/>
            <w:szCs w:val="20"/>
          </w:rPr>
          <w:t>United States</w:t>
        </w:r>
      </w:smartTag>
      <w:r w:rsidRPr="00D23A55">
        <w:rPr>
          <w:rFonts w:ascii="Segoe UI" w:hAnsi="Segoe UI" w:cs="Segoe UI"/>
          <w:bCs/>
          <w:sz w:val="20"/>
          <w:szCs w:val="20"/>
        </w:rPr>
        <w:t xml:space="preserve"> and/or other countries.  The names of actual companies and products mentioned herein may be the trademarks of their respective owners.</w:t>
      </w:r>
    </w:p>
    <w:sectPr w:rsidR="006762E1" w:rsidRPr="00C42B75" w:rsidSect="00CB17B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D88" w:rsidRDefault="005F7D88" w:rsidP="009D399E">
      <w:pPr>
        <w:spacing w:after="0" w:line="240" w:lineRule="auto"/>
      </w:pPr>
      <w:r>
        <w:separator/>
      </w:r>
    </w:p>
  </w:endnote>
  <w:endnote w:type="continuationSeparator" w:id="0">
    <w:p w:rsidR="005F7D88" w:rsidRDefault="005F7D88" w:rsidP="009D3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D88" w:rsidRDefault="005F7D88" w:rsidP="009D399E">
      <w:pPr>
        <w:spacing w:after="0" w:line="240" w:lineRule="auto"/>
      </w:pPr>
      <w:r>
        <w:separator/>
      </w:r>
    </w:p>
  </w:footnote>
  <w:footnote w:type="continuationSeparator" w:id="0">
    <w:p w:rsidR="005F7D88" w:rsidRDefault="005F7D88" w:rsidP="009D39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57EA7"/>
    <w:multiLevelType w:val="hybridMultilevel"/>
    <w:tmpl w:val="3A9A94BC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>
    <w:nsid w:val="0FC2345E"/>
    <w:multiLevelType w:val="hybridMultilevel"/>
    <w:tmpl w:val="52C8323A"/>
    <w:lvl w:ilvl="0" w:tplc="04090001">
      <w:start w:val="1"/>
      <w:numFmt w:val="bullet"/>
      <w:lvlText w:val=""/>
      <w:lvlJc w:val="left"/>
      <w:pPr>
        <w:ind w:left="7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9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11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0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3752" w:hanging="360"/>
      </w:pPr>
      <w:rPr>
        <w:rFonts w:ascii="Wingdings" w:hAnsi="Wingdings" w:hint="default"/>
      </w:rPr>
    </w:lvl>
  </w:abstractNum>
  <w:abstractNum w:abstractNumId="2">
    <w:nsid w:val="192C688C"/>
    <w:multiLevelType w:val="hybridMultilevel"/>
    <w:tmpl w:val="AB101B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AA57486"/>
    <w:multiLevelType w:val="hybridMultilevel"/>
    <w:tmpl w:val="14985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5323AC1"/>
    <w:multiLevelType w:val="hybridMultilevel"/>
    <w:tmpl w:val="B3B8167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5E5310"/>
    <w:multiLevelType w:val="hybridMultilevel"/>
    <w:tmpl w:val="CA54A2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CE87A09"/>
    <w:multiLevelType w:val="hybridMultilevel"/>
    <w:tmpl w:val="1A28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A200AF"/>
    <w:multiLevelType w:val="hybridMultilevel"/>
    <w:tmpl w:val="D812E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FC2AD4"/>
    <w:multiLevelType w:val="hybridMultilevel"/>
    <w:tmpl w:val="AA4A75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CC738A6"/>
    <w:multiLevelType w:val="hybridMultilevel"/>
    <w:tmpl w:val="C302DFC8"/>
    <w:lvl w:ilvl="0" w:tplc="968E379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4A52AE"/>
    <w:multiLevelType w:val="hybridMultilevel"/>
    <w:tmpl w:val="665C6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EC44F79"/>
    <w:multiLevelType w:val="hybridMultilevel"/>
    <w:tmpl w:val="4A204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7167B00"/>
    <w:multiLevelType w:val="hybridMultilevel"/>
    <w:tmpl w:val="1E529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B5320F"/>
    <w:multiLevelType w:val="hybridMultilevel"/>
    <w:tmpl w:val="ADF418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3E0A18"/>
    <w:multiLevelType w:val="hybridMultilevel"/>
    <w:tmpl w:val="B262C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934A47"/>
    <w:multiLevelType w:val="hybridMultilevel"/>
    <w:tmpl w:val="9A6CB0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13"/>
  </w:num>
  <w:num w:numId="5">
    <w:abstractNumId w:val="14"/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3"/>
  </w:num>
  <w:num w:numId="10">
    <w:abstractNumId w:val="0"/>
  </w:num>
  <w:num w:numId="11">
    <w:abstractNumId w:val="4"/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removePersonalInformation/>
  <w:removeDateAndTime/>
  <w:trackRevisions/>
  <w:defaultTabStop w:val="720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16DFD"/>
    <w:rsid w:val="0000081B"/>
    <w:rsid w:val="00006A4B"/>
    <w:rsid w:val="0001333B"/>
    <w:rsid w:val="00045D99"/>
    <w:rsid w:val="000837EB"/>
    <w:rsid w:val="00086123"/>
    <w:rsid w:val="000C47FC"/>
    <w:rsid w:val="000E7699"/>
    <w:rsid w:val="00112F2D"/>
    <w:rsid w:val="001620AA"/>
    <w:rsid w:val="00181C7D"/>
    <w:rsid w:val="00181CAD"/>
    <w:rsid w:val="00192CD0"/>
    <w:rsid w:val="001C6CDC"/>
    <w:rsid w:val="001C793B"/>
    <w:rsid w:val="001D7290"/>
    <w:rsid w:val="0020054B"/>
    <w:rsid w:val="00230DCE"/>
    <w:rsid w:val="00246D9E"/>
    <w:rsid w:val="0029146E"/>
    <w:rsid w:val="002A3DA3"/>
    <w:rsid w:val="002E5F54"/>
    <w:rsid w:val="002F4731"/>
    <w:rsid w:val="002F74FC"/>
    <w:rsid w:val="0030374A"/>
    <w:rsid w:val="003117C0"/>
    <w:rsid w:val="00320A5A"/>
    <w:rsid w:val="00322484"/>
    <w:rsid w:val="0035461B"/>
    <w:rsid w:val="00357131"/>
    <w:rsid w:val="00383217"/>
    <w:rsid w:val="00396B8D"/>
    <w:rsid w:val="003B0E89"/>
    <w:rsid w:val="003B7A0A"/>
    <w:rsid w:val="003C20A6"/>
    <w:rsid w:val="003C5CF0"/>
    <w:rsid w:val="003D6D2C"/>
    <w:rsid w:val="003E2781"/>
    <w:rsid w:val="003F1C97"/>
    <w:rsid w:val="00526767"/>
    <w:rsid w:val="00527CF1"/>
    <w:rsid w:val="00543949"/>
    <w:rsid w:val="005663EB"/>
    <w:rsid w:val="005775BE"/>
    <w:rsid w:val="005A5665"/>
    <w:rsid w:val="005B139F"/>
    <w:rsid w:val="005B4BCA"/>
    <w:rsid w:val="005D4E48"/>
    <w:rsid w:val="005E6307"/>
    <w:rsid w:val="005F7D88"/>
    <w:rsid w:val="006019DB"/>
    <w:rsid w:val="00604299"/>
    <w:rsid w:val="00613B10"/>
    <w:rsid w:val="00630847"/>
    <w:rsid w:val="00643FC6"/>
    <w:rsid w:val="006762E1"/>
    <w:rsid w:val="006824F5"/>
    <w:rsid w:val="006D2DB5"/>
    <w:rsid w:val="006F2641"/>
    <w:rsid w:val="0071233B"/>
    <w:rsid w:val="00753BEB"/>
    <w:rsid w:val="007671FC"/>
    <w:rsid w:val="00777E92"/>
    <w:rsid w:val="007B2DC2"/>
    <w:rsid w:val="007C5D09"/>
    <w:rsid w:val="007D1ACF"/>
    <w:rsid w:val="007F5AC7"/>
    <w:rsid w:val="00803553"/>
    <w:rsid w:val="008078AA"/>
    <w:rsid w:val="0087739A"/>
    <w:rsid w:val="008B4056"/>
    <w:rsid w:val="008D0272"/>
    <w:rsid w:val="008F7CC9"/>
    <w:rsid w:val="00902367"/>
    <w:rsid w:val="00916DFD"/>
    <w:rsid w:val="00944320"/>
    <w:rsid w:val="00957DB0"/>
    <w:rsid w:val="009707C9"/>
    <w:rsid w:val="00992254"/>
    <w:rsid w:val="009C2576"/>
    <w:rsid w:val="009C27D2"/>
    <w:rsid w:val="009D399E"/>
    <w:rsid w:val="009D6FF4"/>
    <w:rsid w:val="00A04224"/>
    <w:rsid w:val="00A07CCC"/>
    <w:rsid w:val="00A27F7C"/>
    <w:rsid w:val="00A37C5F"/>
    <w:rsid w:val="00A404BF"/>
    <w:rsid w:val="00A5152C"/>
    <w:rsid w:val="00A5201B"/>
    <w:rsid w:val="00A56F1A"/>
    <w:rsid w:val="00A764F0"/>
    <w:rsid w:val="00A90B5C"/>
    <w:rsid w:val="00AA17F5"/>
    <w:rsid w:val="00AF1543"/>
    <w:rsid w:val="00AF4230"/>
    <w:rsid w:val="00B27214"/>
    <w:rsid w:val="00B526A7"/>
    <w:rsid w:val="00B7136D"/>
    <w:rsid w:val="00BD783B"/>
    <w:rsid w:val="00BF3AC9"/>
    <w:rsid w:val="00BF4541"/>
    <w:rsid w:val="00C14823"/>
    <w:rsid w:val="00C319B3"/>
    <w:rsid w:val="00C42B75"/>
    <w:rsid w:val="00C82DBA"/>
    <w:rsid w:val="00CB17BC"/>
    <w:rsid w:val="00CD1263"/>
    <w:rsid w:val="00CD76A7"/>
    <w:rsid w:val="00CE644D"/>
    <w:rsid w:val="00CF6E85"/>
    <w:rsid w:val="00D0530B"/>
    <w:rsid w:val="00D23A55"/>
    <w:rsid w:val="00D2521B"/>
    <w:rsid w:val="00D7651A"/>
    <w:rsid w:val="00DB1A2E"/>
    <w:rsid w:val="00DB1AA4"/>
    <w:rsid w:val="00DB42D6"/>
    <w:rsid w:val="00E2361A"/>
    <w:rsid w:val="00E46C2D"/>
    <w:rsid w:val="00E7566B"/>
    <w:rsid w:val="00E915C6"/>
    <w:rsid w:val="00EB1FBF"/>
    <w:rsid w:val="00EC629E"/>
    <w:rsid w:val="00EC6A77"/>
    <w:rsid w:val="00ED727E"/>
    <w:rsid w:val="00EF1823"/>
    <w:rsid w:val="00F54CF2"/>
    <w:rsid w:val="00F70201"/>
    <w:rsid w:val="00F86FBE"/>
    <w:rsid w:val="00F919AE"/>
    <w:rsid w:val="00F97EF8"/>
    <w:rsid w:val="00FE4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DF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16DF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16DF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16DFD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16DFD"/>
    <w:rPr>
      <w:rFonts w:ascii="Cambria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aliases w:val="Bullet List,FooterText"/>
    <w:basedOn w:val="Normal"/>
    <w:link w:val="ListParagraphChar"/>
    <w:uiPriority w:val="99"/>
    <w:qFormat/>
    <w:rsid w:val="00916D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1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6DF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643FC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43F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43FC6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43F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43FC6"/>
    <w:rPr>
      <w:b/>
      <w:bCs/>
    </w:rPr>
  </w:style>
  <w:style w:type="paragraph" w:styleId="Header">
    <w:name w:val="header"/>
    <w:basedOn w:val="Normal"/>
    <w:link w:val="HeaderChar"/>
    <w:uiPriority w:val="99"/>
    <w:semiHidden/>
    <w:rsid w:val="009D3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D399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D3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D399E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A04224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Bullet List Char,FooterText Char"/>
    <w:basedOn w:val="DefaultParagraphFont"/>
    <w:link w:val="ListParagraph"/>
    <w:uiPriority w:val="99"/>
    <w:locked/>
    <w:rsid w:val="00E7566B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46D9E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273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icrosoft.com/privateclou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3871E-3382-4E31-8AE8-F4A11384B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588</Words>
  <Characters>3354</Characters>
  <Application>Microsoft Office Word</Application>
  <DocSecurity>0</DocSecurity>
  <Lines>27</Lines>
  <Paragraphs>7</Paragraphs>
  <ScaleCrop>false</ScaleCrop>
  <LinksUpToDate>false</LinksUpToDate>
  <CharactersWithSpaces>3935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2010-02-24T11:20:00Z</dcterms:created>
  <dcterms:modified xsi:type="dcterms:W3CDTF">2010-02-24T11:20:00Z</dcterms:modified>
</cp:coreProperties>
</file>